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54B26">
      <w:pPr>
        <w:keepNext w:val="0"/>
        <w:keepLines w:val="0"/>
        <w:pageBreakBefore w:val="0"/>
        <w:widowControl w:val="0"/>
        <w:kinsoku/>
        <w:wordWrap/>
        <w:overflowPunct/>
        <w:topLinePunct w:val="0"/>
        <w:autoSpaceDE/>
        <w:autoSpaceDN/>
        <w:bidi w:val="0"/>
        <w:adjustRightInd/>
        <w:snapToGrid/>
        <w:spacing w:line="360" w:lineRule="exact"/>
        <w:textAlignment w:val="auto"/>
        <w:rPr>
          <w:lang w:val="en-US" w:eastAsia="zh-CN"/>
        </w:rPr>
      </w:pPr>
      <w:bookmarkStart w:id="0" w:name="_GoBack"/>
      <w:bookmarkEnd w:id="0"/>
    </w:p>
    <w:p w14:paraId="5ABC36EB">
      <w:pPr>
        <w:keepNext w:val="0"/>
        <w:keepLines w:val="0"/>
        <w:pageBreakBefore w:val="0"/>
        <w:widowControl w:val="0"/>
        <w:kinsoku/>
        <w:wordWrap/>
        <w:overflowPunct/>
        <w:topLinePunct w:val="0"/>
        <w:autoSpaceDE/>
        <w:autoSpaceDN/>
        <w:bidi w:val="0"/>
        <w:adjustRightInd/>
        <w:snapToGrid w:val="0"/>
        <w:spacing w:line="574" w:lineRule="exact"/>
        <w:jc w:val="center"/>
        <w:textAlignment w:val="auto"/>
        <w:rPr>
          <w:rFonts w:hint="eastAsia" w:ascii="宋体" w:hAnsi="宋体" w:eastAsia="方正小标宋_GBK" w:cs="方正小标宋_GBK"/>
          <w:b w:val="0"/>
          <w:bCs/>
          <w:color w:val="000000"/>
          <w:spacing w:val="0"/>
          <w:w w:val="96"/>
          <w:kern w:val="0"/>
          <w:sz w:val="44"/>
          <w:szCs w:val="44"/>
        </w:rPr>
      </w:pPr>
      <w:r>
        <w:rPr>
          <w:rFonts w:hint="eastAsia" w:ascii="宋体" w:hAnsi="宋体" w:eastAsia="方正小标宋_GBK" w:cs="方正小标宋_GBK"/>
          <w:b w:val="0"/>
          <w:bCs/>
          <w:color w:val="000000"/>
          <w:spacing w:val="0"/>
          <w:w w:val="96"/>
          <w:kern w:val="0"/>
          <w:sz w:val="44"/>
          <w:szCs w:val="44"/>
          <w:lang w:eastAsia="zh-CN"/>
        </w:rPr>
        <w:t>中央转移支付</w:t>
      </w:r>
      <w:r>
        <w:rPr>
          <w:rFonts w:hint="eastAsia" w:ascii="宋体" w:hAnsi="宋体" w:eastAsia="方正小标宋_GBK" w:cs="方正小标宋_GBK"/>
          <w:b w:val="0"/>
          <w:bCs/>
          <w:color w:val="000000"/>
          <w:spacing w:val="0"/>
          <w:w w:val="96"/>
          <w:kern w:val="0"/>
          <w:sz w:val="44"/>
          <w:szCs w:val="44"/>
          <w:lang w:val="en-US" w:eastAsia="zh-CN"/>
        </w:rPr>
        <w:t>2024年度</w:t>
      </w:r>
      <w:r>
        <w:rPr>
          <w:rFonts w:hint="eastAsia" w:ascii="宋体" w:hAnsi="宋体" w:eastAsia="方正小标宋_GBK" w:cs="方正小标宋_GBK"/>
          <w:b w:val="0"/>
          <w:bCs/>
          <w:color w:val="000000"/>
          <w:spacing w:val="0"/>
          <w:w w:val="96"/>
          <w:kern w:val="0"/>
          <w:sz w:val="44"/>
          <w:szCs w:val="44"/>
        </w:rPr>
        <w:t>就业补助资金</w:t>
      </w:r>
    </w:p>
    <w:p w14:paraId="237B40BB">
      <w:pPr>
        <w:keepNext w:val="0"/>
        <w:keepLines w:val="0"/>
        <w:pageBreakBefore w:val="0"/>
        <w:widowControl w:val="0"/>
        <w:kinsoku/>
        <w:wordWrap/>
        <w:overflowPunct/>
        <w:topLinePunct w:val="0"/>
        <w:autoSpaceDE/>
        <w:autoSpaceDN/>
        <w:bidi w:val="0"/>
        <w:adjustRightInd/>
        <w:snapToGrid w:val="0"/>
        <w:spacing w:line="574" w:lineRule="exact"/>
        <w:jc w:val="center"/>
        <w:textAlignment w:val="auto"/>
        <w:rPr>
          <w:rFonts w:hint="eastAsia" w:ascii="宋体" w:hAnsi="宋体" w:eastAsia="方正小标宋_GBK" w:cs="方正小标宋_GBK"/>
          <w:color w:val="000000"/>
          <w:spacing w:val="0"/>
          <w:w w:val="96"/>
          <w:kern w:val="0"/>
          <w:sz w:val="44"/>
          <w:szCs w:val="44"/>
          <w:lang w:val="en" w:eastAsia="zh-CN"/>
        </w:rPr>
      </w:pPr>
      <w:r>
        <w:rPr>
          <w:rFonts w:hint="eastAsia" w:ascii="宋体" w:hAnsi="宋体" w:eastAsia="方正小标宋_GBK" w:cs="方正小标宋_GBK"/>
          <w:b w:val="0"/>
          <w:bCs/>
          <w:color w:val="000000"/>
          <w:spacing w:val="0"/>
          <w:w w:val="96"/>
          <w:kern w:val="0"/>
          <w:sz w:val="44"/>
          <w:szCs w:val="44"/>
        </w:rPr>
        <w:t>绩效自评报告</w:t>
      </w:r>
    </w:p>
    <w:p w14:paraId="7D5046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方正仿宋_GBK" w:cs="Times New Roman"/>
          <w:color w:val="000000"/>
          <w:spacing w:val="0"/>
          <w:kern w:val="0"/>
          <w:sz w:val="32"/>
          <w:szCs w:val="32"/>
          <w:highlight w:val="none"/>
        </w:rPr>
      </w:pPr>
    </w:p>
    <w:p w14:paraId="03D6587B">
      <w:pPr>
        <w:keepNext w:val="0"/>
        <w:keepLines w:val="0"/>
        <w:pageBreakBefore w:val="0"/>
        <w:widowControl w:val="0"/>
        <w:kinsoku/>
        <w:wordWrap/>
        <w:overflowPunct/>
        <w:topLinePunct w:val="0"/>
        <w:autoSpaceDE/>
        <w:autoSpaceDN/>
        <w:bidi w:val="0"/>
        <w:spacing w:line="574" w:lineRule="exact"/>
        <w:ind w:firstLine="624" w:firstLineChars="200"/>
        <w:rPr>
          <w:rFonts w:hint="eastAsia" w:ascii="宋体" w:hAnsi="宋体" w:eastAsia="方正仿宋_GBK" w:cs="黑体"/>
          <w:bCs/>
          <w:color w:val="000000"/>
          <w:spacing w:val="0"/>
          <w:kern w:val="0"/>
          <w:sz w:val="32"/>
          <w:szCs w:val="32"/>
          <w:lang w:eastAsia="zh-CN"/>
        </w:rPr>
      </w:pPr>
      <w:r>
        <w:rPr>
          <w:rFonts w:hint="eastAsia" w:ascii="宋体" w:hAnsi="宋体" w:eastAsia="方正仿宋_GBK" w:cs="Times New Roman"/>
          <w:color w:val="000000"/>
          <w:spacing w:val="0"/>
          <w:kern w:val="0"/>
          <w:sz w:val="32"/>
          <w:szCs w:val="32"/>
          <w:lang w:eastAsia="zh-CN"/>
        </w:rPr>
        <w:t>按照</w:t>
      </w:r>
      <w:r>
        <w:rPr>
          <w:rFonts w:hint="eastAsia" w:ascii="宋体" w:hAnsi="宋体" w:eastAsia="方正仿宋_GBK" w:cs="Times New Roman"/>
          <w:color w:val="000000"/>
          <w:spacing w:val="0"/>
          <w:kern w:val="0"/>
          <w:sz w:val="32"/>
          <w:szCs w:val="32"/>
        </w:rPr>
        <w:t>《财政部关于开展202</w:t>
      </w:r>
      <w:r>
        <w:rPr>
          <w:rFonts w:hint="eastAsia" w:ascii="宋体" w:hAnsi="宋体" w:eastAsia="方正仿宋_GBK" w:cs="Times New Roman"/>
          <w:color w:val="000000"/>
          <w:spacing w:val="0"/>
          <w:kern w:val="0"/>
          <w:sz w:val="32"/>
          <w:szCs w:val="32"/>
          <w:lang w:val="en-US" w:eastAsia="zh-CN"/>
        </w:rPr>
        <w:t>4</w:t>
      </w:r>
      <w:r>
        <w:rPr>
          <w:rFonts w:hint="eastAsia" w:ascii="宋体" w:hAnsi="宋体" w:eastAsia="方正仿宋_GBK" w:cs="Times New Roman"/>
          <w:color w:val="000000"/>
          <w:spacing w:val="0"/>
          <w:kern w:val="0"/>
          <w:sz w:val="32"/>
          <w:szCs w:val="32"/>
        </w:rPr>
        <w:t>年度中央对地方转移支付预算执行情况绩效自评工作的通知》（财监〔202</w:t>
      </w:r>
      <w:r>
        <w:rPr>
          <w:rFonts w:hint="eastAsia" w:ascii="宋体" w:hAnsi="宋体" w:eastAsia="方正仿宋_GBK" w:cs="Times New Roman"/>
          <w:color w:val="000000"/>
          <w:spacing w:val="0"/>
          <w:kern w:val="0"/>
          <w:sz w:val="32"/>
          <w:szCs w:val="32"/>
          <w:lang w:val="en-US" w:eastAsia="zh-CN"/>
        </w:rPr>
        <w:t>5</w:t>
      </w:r>
      <w:r>
        <w:rPr>
          <w:rFonts w:hint="eastAsia" w:ascii="宋体" w:hAnsi="宋体" w:eastAsia="方正仿宋_GBK" w:cs="Times New Roman"/>
          <w:color w:val="000000"/>
          <w:spacing w:val="0"/>
          <w:kern w:val="0"/>
          <w:sz w:val="32"/>
          <w:szCs w:val="32"/>
        </w:rPr>
        <w:t>〕</w:t>
      </w:r>
      <w:r>
        <w:rPr>
          <w:rFonts w:hint="eastAsia" w:ascii="宋体" w:hAnsi="宋体" w:eastAsia="方正仿宋_GBK" w:cs="Times New Roman"/>
          <w:color w:val="000000"/>
          <w:spacing w:val="0"/>
          <w:kern w:val="0"/>
          <w:sz w:val="32"/>
          <w:szCs w:val="32"/>
          <w:lang w:val="en-US" w:eastAsia="zh-CN"/>
        </w:rPr>
        <w:t>1</w:t>
      </w:r>
      <w:r>
        <w:rPr>
          <w:rFonts w:hint="eastAsia" w:ascii="宋体" w:hAnsi="宋体" w:eastAsia="方正仿宋_GBK" w:cs="Times New Roman"/>
          <w:color w:val="000000"/>
          <w:spacing w:val="0"/>
          <w:kern w:val="0"/>
          <w:sz w:val="32"/>
          <w:szCs w:val="32"/>
        </w:rPr>
        <w:t>号）要求</w:t>
      </w:r>
      <w:r>
        <w:rPr>
          <w:rFonts w:ascii="宋体" w:hAnsi="宋体" w:eastAsia="方正仿宋_GBK" w:cs="Times New Roman"/>
          <w:color w:val="000000"/>
          <w:spacing w:val="0"/>
          <w:kern w:val="0"/>
          <w:sz w:val="32"/>
          <w:szCs w:val="32"/>
        </w:rPr>
        <w:t>，</w:t>
      </w:r>
      <w:r>
        <w:rPr>
          <w:rFonts w:hint="eastAsia" w:ascii="宋体" w:hAnsi="宋体" w:eastAsia="方正仿宋_GBK" w:cs="Times New Roman"/>
          <w:color w:val="000000"/>
          <w:spacing w:val="0"/>
          <w:kern w:val="0"/>
          <w:sz w:val="32"/>
          <w:szCs w:val="32"/>
          <w:lang w:eastAsia="zh-CN"/>
        </w:rPr>
        <w:t>现将云南</w:t>
      </w:r>
      <w:r>
        <w:rPr>
          <w:rFonts w:ascii="宋体" w:hAnsi="宋体" w:eastAsia="方正仿宋_GBK" w:cs="Times New Roman"/>
          <w:color w:val="000000"/>
          <w:spacing w:val="0"/>
          <w:kern w:val="0"/>
          <w:sz w:val="32"/>
          <w:szCs w:val="32"/>
        </w:rPr>
        <w:t>省中央转移支付就业补助资金20</w:t>
      </w:r>
      <w:r>
        <w:rPr>
          <w:rFonts w:hint="eastAsia" w:ascii="宋体" w:hAnsi="宋体" w:eastAsia="方正仿宋_GBK" w:cs="Times New Roman"/>
          <w:color w:val="000000"/>
          <w:spacing w:val="0"/>
          <w:kern w:val="0"/>
          <w:sz w:val="32"/>
          <w:szCs w:val="32"/>
        </w:rPr>
        <w:t>2</w:t>
      </w:r>
      <w:r>
        <w:rPr>
          <w:rFonts w:hint="eastAsia" w:ascii="宋体" w:hAnsi="宋体" w:eastAsia="方正仿宋_GBK" w:cs="Times New Roman"/>
          <w:color w:val="000000"/>
          <w:spacing w:val="0"/>
          <w:kern w:val="0"/>
          <w:sz w:val="32"/>
          <w:szCs w:val="32"/>
          <w:lang w:val="en-US" w:eastAsia="zh-CN"/>
        </w:rPr>
        <w:t>4</w:t>
      </w:r>
      <w:r>
        <w:rPr>
          <w:rFonts w:ascii="宋体" w:hAnsi="宋体" w:eastAsia="方正仿宋_GBK" w:cs="Times New Roman"/>
          <w:color w:val="000000"/>
          <w:spacing w:val="0"/>
          <w:kern w:val="0"/>
          <w:sz w:val="32"/>
          <w:szCs w:val="32"/>
        </w:rPr>
        <w:t>年度绩效自评情况报告如下</w:t>
      </w:r>
      <w:r>
        <w:rPr>
          <w:rFonts w:hint="eastAsia" w:ascii="宋体" w:hAnsi="宋体" w:eastAsia="方正仿宋_GBK" w:cs="Times New Roman"/>
          <w:color w:val="000000"/>
          <w:spacing w:val="0"/>
          <w:kern w:val="0"/>
          <w:sz w:val="32"/>
          <w:szCs w:val="32"/>
          <w:lang w:eastAsia="zh-CN"/>
        </w:rPr>
        <w:t>：</w:t>
      </w:r>
    </w:p>
    <w:p w14:paraId="0A73FDE5">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黑体_GBK" w:cs="方正黑体_GBK"/>
          <w:bCs/>
          <w:color w:val="000000"/>
          <w:spacing w:val="0"/>
          <w:kern w:val="0"/>
          <w:sz w:val="32"/>
          <w:szCs w:val="32"/>
        </w:rPr>
      </w:pPr>
      <w:r>
        <w:rPr>
          <w:rFonts w:hint="eastAsia" w:ascii="宋体" w:hAnsi="宋体" w:eastAsia="方正黑体_GBK" w:cs="方正黑体_GBK"/>
          <w:bCs/>
          <w:color w:val="000000"/>
          <w:spacing w:val="0"/>
          <w:kern w:val="0"/>
          <w:sz w:val="32"/>
          <w:szCs w:val="32"/>
        </w:rPr>
        <w:t>一、绩效目标分解下达情况</w:t>
      </w:r>
    </w:p>
    <w:p w14:paraId="1BCA0E1A">
      <w:pPr>
        <w:keepNext w:val="0"/>
        <w:keepLines w:val="0"/>
        <w:pageBreakBefore w:val="0"/>
        <w:widowControl w:val="0"/>
        <w:kinsoku/>
        <w:wordWrap/>
        <w:overflowPunct/>
        <w:topLinePunct w:val="0"/>
        <w:autoSpaceDE/>
        <w:autoSpaceDN/>
        <w:bidi w:val="0"/>
        <w:spacing w:line="574" w:lineRule="exact"/>
        <w:ind w:firstLine="624" w:firstLineChars="200"/>
        <w:rPr>
          <w:rFonts w:hint="eastAsia" w:ascii="宋体" w:hAnsi="宋体" w:eastAsia="方正楷体_GBK" w:cs="Times New Roman"/>
          <w:color w:val="000000"/>
          <w:spacing w:val="0"/>
          <w:kern w:val="0"/>
          <w:sz w:val="32"/>
          <w:szCs w:val="32"/>
          <w:lang w:eastAsia="zh-CN"/>
        </w:rPr>
      </w:pPr>
      <w:r>
        <w:rPr>
          <w:rFonts w:ascii="宋体" w:hAnsi="宋体" w:eastAsia="方正楷体_GBK" w:cs="Times New Roman"/>
          <w:color w:val="000000"/>
          <w:spacing w:val="0"/>
          <w:kern w:val="0"/>
          <w:sz w:val="32"/>
          <w:szCs w:val="32"/>
        </w:rPr>
        <w:t>（一）中央下达就业补助资金专项转移支付预算和绩效目标情况</w:t>
      </w:r>
    </w:p>
    <w:p w14:paraId="6540EB39">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lang w:val="en-US" w:eastAsia="zh-CN" w:bidi="ar-SA"/>
        </w:rPr>
      </w:pPr>
      <w:r>
        <w:rPr>
          <w:rFonts w:hint="eastAsia" w:ascii="宋体" w:hAnsi="宋体" w:eastAsia="方正仿宋_GBK" w:cs="Times New Roman"/>
          <w:color w:val="000000"/>
          <w:spacing w:val="0"/>
          <w:kern w:val="0"/>
          <w:sz w:val="32"/>
          <w:szCs w:val="32"/>
          <w:lang w:val="en-US" w:eastAsia="zh-CN" w:bidi="ar-SA"/>
        </w:rPr>
        <w:t>根据《财政部 人力资源社会保障部关于提前下达2024年就业补助资金预算的通知》（财社〔2023〕136号）、《财政部 人力资源社会保障部关于下达2024年就业补助资金预算的通知》（财社〔2024〕28号）、《财政部 人力资源社会保障部关于下达2024年就业补助资金（公共就业服务能力提升示范项目）预算的通知》（财社〔2024〕29号）文件精神，2024年，中央下达我省就业补助资金304845万元。中央财政在正式下达补助资金的同时，随文下达了总体绩效目标和各项绩效指标。总体绩效目标是：资金按规定用于职业培训补贴、职业技能鉴定补贴、社会保险补贴、公益性岗位补贴、就业见习补贴、求职创业补贴、就业创业服务补助、高技能人才培养补助等支出以及省级人民政府批准的其他支出项目；确保完成年度城镇新增就业目标任务；确保年末城镇调查失业率保持在目标范围内。具体设置绩效指标18个，分别为：产出指标11个，其中数量指标5个、质量指标2个、时效指标1个、成本指标3个；效益指标6个，其中经济效益指标4个、社会效益指标2个；服务对象满意度（就业政策满意度）指标1个。</w:t>
      </w:r>
    </w:p>
    <w:p w14:paraId="3EA20C89">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lang w:val="en-US" w:eastAsia="zh-CN" w:bidi="ar-SA"/>
        </w:rPr>
      </w:pPr>
      <w:r>
        <w:rPr>
          <w:rFonts w:hint="eastAsia" w:ascii="宋体" w:hAnsi="宋体" w:eastAsia="方正楷体_GBK" w:cs="Times New Roman"/>
          <w:color w:val="000000"/>
          <w:spacing w:val="0"/>
          <w:kern w:val="0"/>
          <w:sz w:val="32"/>
          <w:szCs w:val="32"/>
          <w:lang w:val="en-US" w:eastAsia="zh-CN" w:bidi="ar-SA"/>
        </w:rPr>
        <w:t>（二）</w:t>
      </w:r>
      <w:r>
        <w:rPr>
          <w:rFonts w:ascii="宋体" w:hAnsi="宋体" w:eastAsia="方正楷体_GBK" w:cs="Times New Roman"/>
          <w:color w:val="000000"/>
          <w:spacing w:val="0"/>
          <w:kern w:val="0"/>
          <w:sz w:val="32"/>
          <w:szCs w:val="32"/>
          <w:lang w:val="en-US" w:eastAsia="zh-CN" w:bidi="ar-SA"/>
        </w:rPr>
        <w:t>省内分解下达预算和绩效目标情况</w:t>
      </w:r>
    </w:p>
    <w:p w14:paraId="6AF1ECCF">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lang w:val="en-US" w:eastAsia="zh-CN" w:bidi="ar-SA"/>
        </w:rPr>
      </w:pPr>
      <w:r>
        <w:rPr>
          <w:rFonts w:ascii="宋体" w:hAnsi="宋体" w:eastAsia="方正仿宋_GBK" w:cs="Times New Roman"/>
          <w:color w:val="000000"/>
          <w:spacing w:val="0"/>
          <w:kern w:val="0"/>
          <w:sz w:val="32"/>
          <w:szCs w:val="32"/>
          <w:lang w:val="en-US" w:eastAsia="zh-CN" w:bidi="ar-SA"/>
        </w:rPr>
        <w:t>1.省内分解下达预算</w:t>
      </w:r>
      <w:r>
        <w:rPr>
          <w:rFonts w:hint="eastAsia" w:ascii="宋体" w:hAnsi="宋体" w:eastAsia="方正仿宋_GBK" w:cs="Times New Roman"/>
          <w:color w:val="000000"/>
          <w:spacing w:val="0"/>
          <w:kern w:val="0"/>
          <w:sz w:val="32"/>
          <w:szCs w:val="32"/>
          <w:lang w:val="en-US" w:eastAsia="zh-CN" w:bidi="ar-SA"/>
        </w:rPr>
        <w:t>情况。</w:t>
      </w:r>
      <w:r>
        <w:rPr>
          <w:rFonts w:ascii="宋体" w:hAnsi="宋体" w:eastAsia="方正仿宋_GBK" w:cs="Times New Roman"/>
          <w:color w:val="000000"/>
          <w:spacing w:val="0"/>
          <w:kern w:val="0"/>
          <w:sz w:val="32"/>
          <w:szCs w:val="32"/>
          <w:lang w:val="en-US" w:eastAsia="zh-CN" w:bidi="ar-SA"/>
        </w:rPr>
        <w:t>中央财政20</w:t>
      </w:r>
      <w:r>
        <w:rPr>
          <w:rFonts w:hint="eastAsia" w:ascii="宋体" w:hAnsi="宋体" w:eastAsia="方正仿宋_GBK" w:cs="Times New Roman"/>
          <w:color w:val="000000"/>
          <w:spacing w:val="0"/>
          <w:kern w:val="0"/>
          <w:sz w:val="32"/>
          <w:szCs w:val="32"/>
          <w:lang w:val="en-US" w:eastAsia="zh-CN" w:bidi="ar-SA"/>
        </w:rPr>
        <w:t>24</w:t>
      </w:r>
      <w:r>
        <w:rPr>
          <w:rFonts w:ascii="宋体" w:hAnsi="宋体" w:eastAsia="方正仿宋_GBK" w:cs="Times New Roman"/>
          <w:color w:val="000000"/>
          <w:spacing w:val="0"/>
          <w:kern w:val="0"/>
          <w:sz w:val="32"/>
          <w:szCs w:val="32"/>
          <w:lang w:val="en-US" w:eastAsia="zh-CN" w:bidi="ar-SA"/>
        </w:rPr>
        <w:t>年转移支付我省就业补助资金</w:t>
      </w:r>
      <w:r>
        <w:rPr>
          <w:rFonts w:hint="eastAsia" w:ascii="宋体" w:hAnsi="宋体" w:eastAsia="方正仿宋_GBK" w:cs="Times New Roman"/>
          <w:color w:val="000000"/>
          <w:spacing w:val="0"/>
          <w:kern w:val="0"/>
          <w:sz w:val="32"/>
          <w:szCs w:val="32"/>
          <w:lang w:val="en-US" w:eastAsia="zh-CN" w:bidi="ar-SA"/>
        </w:rPr>
        <w:t>304845万元（含普洱市获得2024年公共就业服务能力提升示范项目专项资金5000万元）</w:t>
      </w:r>
      <w:r>
        <w:rPr>
          <w:rFonts w:ascii="宋体" w:hAnsi="宋体" w:eastAsia="方正仿宋_GBK" w:cs="Times New Roman"/>
          <w:color w:val="000000"/>
          <w:spacing w:val="0"/>
          <w:kern w:val="0"/>
          <w:sz w:val="32"/>
          <w:szCs w:val="32"/>
          <w:lang w:val="en-US" w:eastAsia="zh-CN" w:bidi="ar-SA"/>
        </w:rPr>
        <w:t>，分两次下达，根据20</w:t>
      </w:r>
      <w:r>
        <w:rPr>
          <w:rFonts w:hint="eastAsia" w:ascii="宋体" w:hAnsi="宋体" w:eastAsia="方正仿宋_GBK" w:cs="Times New Roman"/>
          <w:color w:val="000000"/>
          <w:spacing w:val="0"/>
          <w:kern w:val="0"/>
          <w:sz w:val="32"/>
          <w:szCs w:val="32"/>
          <w:lang w:val="en-US" w:eastAsia="zh-CN" w:bidi="ar-SA"/>
        </w:rPr>
        <w:t>24</w:t>
      </w:r>
      <w:r>
        <w:rPr>
          <w:rFonts w:ascii="宋体" w:hAnsi="宋体" w:eastAsia="方正仿宋_GBK" w:cs="Times New Roman"/>
          <w:color w:val="000000"/>
          <w:spacing w:val="0"/>
          <w:kern w:val="0"/>
          <w:sz w:val="32"/>
          <w:szCs w:val="32"/>
          <w:lang w:val="en-US" w:eastAsia="zh-CN" w:bidi="ar-SA"/>
        </w:rPr>
        <w:t>年全省就业工作任务分解情况将资金下达我省16个州（市）、3个</w:t>
      </w:r>
      <w:r>
        <w:rPr>
          <w:rFonts w:hint="eastAsia" w:ascii="宋体" w:hAnsi="宋体" w:eastAsia="方正仿宋_GBK" w:cs="Times New Roman"/>
          <w:color w:val="000000"/>
          <w:spacing w:val="0"/>
          <w:kern w:val="0"/>
          <w:sz w:val="32"/>
          <w:szCs w:val="32"/>
          <w:lang w:val="en-US" w:eastAsia="zh-CN" w:bidi="ar-SA"/>
        </w:rPr>
        <w:t>财政</w:t>
      </w:r>
      <w:r>
        <w:rPr>
          <w:rFonts w:ascii="宋体" w:hAnsi="宋体" w:eastAsia="方正仿宋_GBK" w:cs="Times New Roman"/>
          <w:color w:val="000000"/>
          <w:spacing w:val="0"/>
          <w:kern w:val="0"/>
          <w:sz w:val="32"/>
          <w:szCs w:val="32"/>
          <w:lang w:val="en-US" w:eastAsia="zh-CN" w:bidi="ar-SA"/>
        </w:rPr>
        <w:t>直管县。</w:t>
      </w:r>
    </w:p>
    <w:p w14:paraId="3D675892">
      <w:pPr>
        <w:keepNext w:val="0"/>
        <w:keepLines w:val="0"/>
        <w:pageBreakBefore w:val="0"/>
        <w:widowControl w:val="0"/>
        <w:kinsoku/>
        <w:wordWrap/>
        <w:overflowPunct/>
        <w:topLinePunct w:val="0"/>
        <w:autoSpaceDE/>
        <w:autoSpaceDN/>
        <w:bidi w:val="0"/>
        <w:spacing w:line="574" w:lineRule="exact"/>
        <w:ind w:firstLine="624" w:firstLineChars="200"/>
        <w:rPr>
          <w:rFonts w:hint="eastAsia" w:ascii="宋体" w:hAnsi="宋体" w:eastAsia="方正仿宋_GBK" w:cs="Times New Roman"/>
          <w:color w:val="000000"/>
          <w:spacing w:val="0"/>
          <w:kern w:val="0"/>
          <w:sz w:val="32"/>
          <w:szCs w:val="32"/>
          <w:lang w:eastAsia="zh-CN"/>
        </w:rPr>
      </w:pPr>
      <w:r>
        <w:rPr>
          <w:rFonts w:ascii="宋体" w:hAnsi="宋体" w:eastAsia="方正仿宋_GBK" w:cs="Times New Roman"/>
          <w:color w:val="000000"/>
          <w:spacing w:val="0"/>
          <w:kern w:val="0"/>
          <w:sz w:val="32"/>
          <w:szCs w:val="32"/>
        </w:rPr>
        <w:t>2.绩效目标情况</w:t>
      </w:r>
      <w:r>
        <w:rPr>
          <w:rFonts w:hint="eastAsia" w:ascii="宋体" w:hAnsi="宋体" w:eastAsia="方正仿宋_GBK" w:cs="Times New Roman"/>
          <w:color w:val="000000"/>
          <w:spacing w:val="0"/>
          <w:kern w:val="0"/>
          <w:sz w:val="32"/>
          <w:szCs w:val="32"/>
          <w:lang w:eastAsia="zh-CN"/>
        </w:rPr>
        <w:t>。</w:t>
      </w:r>
      <w:r>
        <w:rPr>
          <w:rFonts w:ascii="宋体" w:hAnsi="宋体" w:eastAsia="方正仿宋_GBK" w:cs="Times New Roman"/>
          <w:color w:val="000000"/>
          <w:spacing w:val="0"/>
          <w:kern w:val="0"/>
          <w:sz w:val="32"/>
          <w:szCs w:val="32"/>
        </w:rPr>
        <w:t>按照</w:t>
      </w:r>
      <w:r>
        <w:rPr>
          <w:rFonts w:hint="eastAsia" w:ascii="宋体" w:hAnsi="宋体" w:eastAsia="方正仿宋_GBK" w:cs="Times New Roman"/>
          <w:color w:val="000000"/>
          <w:spacing w:val="0"/>
          <w:kern w:val="0"/>
          <w:sz w:val="32"/>
          <w:szCs w:val="32"/>
        </w:rPr>
        <w:t>人力资源社会保障</w:t>
      </w:r>
      <w:r>
        <w:rPr>
          <w:rFonts w:ascii="宋体" w:hAnsi="宋体" w:eastAsia="方正仿宋_GBK" w:cs="Times New Roman"/>
          <w:color w:val="000000"/>
          <w:spacing w:val="0"/>
          <w:kern w:val="0"/>
          <w:sz w:val="32"/>
          <w:szCs w:val="32"/>
        </w:rPr>
        <w:t>部当年下达我省各项就业指标任务和就业补助资金管理办法规定的支出范围和标准，我省确定了20</w:t>
      </w:r>
      <w:r>
        <w:rPr>
          <w:rFonts w:hint="eastAsia" w:ascii="宋体" w:hAnsi="宋体" w:eastAsia="方正仿宋_GBK" w:cs="Times New Roman"/>
          <w:color w:val="000000"/>
          <w:spacing w:val="0"/>
          <w:kern w:val="0"/>
          <w:sz w:val="32"/>
          <w:szCs w:val="32"/>
        </w:rPr>
        <w:t>2</w:t>
      </w:r>
      <w:r>
        <w:rPr>
          <w:rFonts w:hint="eastAsia" w:ascii="宋体" w:hAnsi="宋体" w:eastAsia="方正仿宋_GBK" w:cs="Times New Roman"/>
          <w:color w:val="000000"/>
          <w:spacing w:val="0"/>
          <w:kern w:val="0"/>
          <w:sz w:val="32"/>
          <w:szCs w:val="32"/>
          <w:lang w:val="en-US" w:eastAsia="zh-CN"/>
        </w:rPr>
        <w:t>4</w:t>
      </w:r>
      <w:r>
        <w:rPr>
          <w:rFonts w:ascii="宋体" w:hAnsi="宋体" w:eastAsia="方正仿宋_GBK" w:cs="Times New Roman"/>
          <w:color w:val="000000"/>
          <w:spacing w:val="0"/>
          <w:kern w:val="0"/>
          <w:sz w:val="32"/>
          <w:szCs w:val="32"/>
        </w:rPr>
        <w:t>年中央转移支付区域绩效</w:t>
      </w:r>
      <w:r>
        <w:rPr>
          <w:rFonts w:hint="eastAsia" w:ascii="宋体" w:hAnsi="宋体" w:eastAsia="方正仿宋_GBK" w:cs="Times New Roman"/>
          <w:color w:val="000000"/>
          <w:spacing w:val="0"/>
          <w:kern w:val="0"/>
          <w:sz w:val="32"/>
          <w:szCs w:val="32"/>
          <w:lang w:eastAsia="zh-CN"/>
        </w:rPr>
        <w:t>总体</w:t>
      </w:r>
      <w:r>
        <w:rPr>
          <w:rFonts w:ascii="宋体" w:hAnsi="宋体" w:eastAsia="方正仿宋_GBK" w:cs="Times New Roman"/>
          <w:color w:val="000000"/>
          <w:spacing w:val="0"/>
          <w:kern w:val="0"/>
          <w:sz w:val="32"/>
          <w:szCs w:val="32"/>
        </w:rPr>
        <w:t>目标：</w:t>
      </w:r>
      <w:r>
        <w:rPr>
          <w:rFonts w:hint="eastAsia" w:ascii="宋体" w:hAnsi="宋体" w:eastAsia="方正仿宋_GBK" w:cs="Times New Roman"/>
          <w:color w:val="000000"/>
          <w:spacing w:val="0"/>
          <w:kern w:val="0"/>
          <w:sz w:val="32"/>
          <w:szCs w:val="32"/>
          <w:lang w:eastAsia="zh-CN"/>
        </w:rPr>
        <w:t>就业补助资金按规定时间内拨付下达，预算执行进度良好；资金使用效益不断提高，有力保障就业目标任务完成，重点群体就业稳定，劳动者职业技能水平逐步提升。就业政策满意度较高。</w:t>
      </w:r>
    </w:p>
    <w:p w14:paraId="095BAB9D">
      <w:pPr>
        <w:keepNext w:val="0"/>
        <w:keepLines w:val="0"/>
        <w:pageBreakBefore w:val="0"/>
        <w:widowControl w:val="0"/>
        <w:kinsoku/>
        <w:wordWrap/>
        <w:overflowPunct/>
        <w:topLinePunct w:val="0"/>
        <w:autoSpaceDE/>
        <w:autoSpaceDN/>
        <w:bidi w:val="0"/>
        <w:spacing w:line="574" w:lineRule="exact"/>
        <w:ind w:firstLine="624" w:firstLineChars="200"/>
        <w:rPr>
          <w:rFonts w:hint="eastAsia" w:ascii="宋体" w:hAnsi="宋体" w:eastAsia="方正仿宋_GBK" w:cs="Times New Roman"/>
          <w:color w:val="000000"/>
          <w:spacing w:val="0"/>
          <w:kern w:val="0"/>
          <w:sz w:val="32"/>
          <w:szCs w:val="32"/>
        </w:rPr>
      </w:pPr>
      <w:r>
        <w:rPr>
          <w:rFonts w:hint="eastAsia" w:ascii="宋体" w:hAnsi="宋体" w:eastAsia="方正仿宋_GBK" w:cs="Times New Roman"/>
          <w:color w:val="000000"/>
          <w:spacing w:val="0"/>
          <w:kern w:val="0"/>
          <w:sz w:val="32"/>
          <w:szCs w:val="32"/>
        </w:rPr>
        <w:t>我省在资金分解</w:t>
      </w:r>
      <w:r>
        <w:rPr>
          <w:rFonts w:hint="eastAsia" w:ascii="宋体" w:hAnsi="宋体" w:eastAsia="方正仿宋_GBK" w:cs="Times New Roman"/>
          <w:color w:val="000000"/>
          <w:spacing w:val="0"/>
          <w:kern w:val="0"/>
          <w:sz w:val="32"/>
          <w:szCs w:val="32"/>
          <w:lang w:eastAsia="zh-CN"/>
        </w:rPr>
        <w:t>下达</w:t>
      </w:r>
      <w:r>
        <w:rPr>
          <w:rFonts w:hint="eastAsia" w:ascii="宋体" w:hAnsi="宋体" w:eastAsia="方正仿宋_GBK" w:cs="Times New Roman"/>
          <w:color w:val="000000"/>
          <w:spacing w:val="0"/>
          <w:kern w:val="0"/>
          <w:sz w:val="32"/>
          <w:szCs w:val="32"/>
        </w:rPr>
        <w:t>时同步下达</w:t>
      </w:r>
      <w:r>
        <w:rPr>
          <w:rFonts w:hint="eastAsia" w:ascii="宋体" w:hAnsi="宋体" w:eastAsia="方正仿宋_GBK" w:cs="Times New Roman"/>
          <w:color w:val="000000"/>
          <w:spacing w:val="0"/>
          <w:kern w:val="0"/>
          <w:sz w:val="32"/>
          <w:szCs w:val="32"/>
          <w:lang w:eastAsia="zh-CN"/>
        </w:rPr>
        <w:t>区域</w:t>
      </w:r>
      <w:r>
        <w:rPr>
          <w:rFonts w:hint="eastAsia" w:ascii="宋体" w:hAnsi="宋体" w:eastAsia="方正仿宋_GBK" w:cs="Times New Roman"/>
          <w:color w:val="000000"/>
          <w:spacing w:val="0"/>
          <w:kern w:val="0"/>
          <w:sz w:val="32"/>
          <w:szCs w:val="32"/>
        </w:rPr>
        <w:t>绩效目标，要求</w:t>
      </w:r>
      <w:r>
        <w:rPr>
          <w:rFonts w:ascii="宋体" w:hAnsi="宋体" w:eastAsia="方正仿宋_GBK" w:cs="Times New Roman"/>
          <w:color w:val="000000"/>
          <w:spacing w:val="0"/>
          <w:kern w:val="0"/>
          <w:sz w:val="32"/>
          <w:szCs w:val="32"/>
        </w:rPr>
        <w:t>各</w:t>
      </w:r>
      <w:r>
        <w:rPr>
          <w:rFonts w:hint="eastAsia" w:ascii="宋体" w:hAnsi="宋体" w:eastAsia="方正仿宋_GBK" w:cs="Times New Roman"/>
          <w:color w:val="000000"/>
          <w:spacing w:val="0"/>
          <w:kern w:val="0"/>
          <w:sz w:val="32"/>
          <w:szCs w:val="32"/>
          <w:lang w:eastAsia="zh-CN"/>
        </w:rPr>
        <w:t>州（市）</w:t>
      </w:r>
      <w:r>
        <w:rPr>
          <w:rFonts w:ascii="宋体" w:hAnsi="宋体" w:eastAsia="方正仿宋_GBK" w:cs="Times New Roman"/>
          <w:color w:val="000000"/>
          <w:spacing w:val="0"/>
          <w:kern w:val="0"/>
          <w:sz w:val="32"/>
          <w:szCs w:val="32"/>
        </w:rPr>
        <w:t>在收到省级</w:t>
      </w:r>
      <w:r>
        <w:rPr>
          <w:rFonts w:hint="eastAsia" w:ascii="宋体" w:hAnsi="宋体" w:eastAsia="方正仿宋_GBK" w:cs="Times New Roman"/>
          <w:color w:val="000000"/>
          <w:spacing w:val="0"/>
          <w:kern w:val="0"/>
          <w:sz w:val="32"/>
          <w:szCs w:val="32"/>
          <w:lang w:eastAsia="zh-CN"/>
        </w:rPr>
        <w:t>分配</w:t>
      </w:r>
      <w:r>
        <w:rPr>
          <w:rFonts w:ascii="宋体" w:hAnsi="宋体" w:eastAsia="方正仿宋_GBK" w:cs="Times New Roman"/>
          <w:color w:val="000000"/>
          <w:spacing w:val="0"/>
          <w:kern w:val="0"/>
          <w:sz w:val="32"/>
          <w:szCs w:val="32"/>
        </w:rPr>
        <w:t>下拨资金后，</w:t>
      </w:r>
      <w:r>
        <w:rPr>
          <w:rFonts w:hint="eastAsia" w:ascii="宋体" w:hAnsi="宋体" w:eastAsia="方正仿宋_GBK" w:cs="Times New Roman"/>
          <w:color w:val="000000"/>
          <w:spacing w:val="0"/>
          <w:kern w:val="0"/>
          <w:sz w:val="32"/>
          <w:szCs w:val="32"/>
          <w:lang w:eastAsia="zh-CN"/>
        </w:rPr>
        <w:t>对照</w:t>
      </w:r>
      <w:r>
        <w:rPr>
          <w:rFonts w:ascii="宋体" w:hAnsi="宋体" w:eastAsia="方正仿宋_GBK" w:cs="Times New Roman"/>
          <w:color w:val="000000"/>
          <w:spacing w:val="0"/>
          <w:kern w:val="0"/>
          <w:sz w:val="32"/>
          <w:szCs w:val="32"/>
        </w:rPr>
        <w:t>省级方式和本地实际分别设立本地区区域绩效目标</w:t>
      </w:r>
      <w:r>
        <w:rPr>
          <w:rFonts w:hint="eastAsia" w:ascii="宋体" w:hAnsi="宋体" w:eastAsia="方正仿宋_GBK" w:cs="Times New Roman"/>
          <w:color w:val="000000"/>
          <w:spacing w:val="0"/>
          <w:kern w:val="0"/>
          <w:sz w:val="32"/>
          <w:szCs w:val="32"/>
          <w:lang w:eastAsia="zh-CN"/>
        </w:rPr>
        <w:t>，做好</w:t>
      </w:r>
      <w:r>
        <w:rPr>
          <w:rFonts w:hint="eastAsia" w:ascii="宋体" w:hAnsi="宋体" w:eastAsia="方正仿宋_GBK" w:cs="Times New Roman"/>
          <w:color w:val="000000"/>
          <w:spacing w:val="0"/>
          <w:kern w:val="0"/>
          <w:sz w:val="32"/>
          <w:szCs w:val="32"/>
        </w:rPr>
        <w:t>绩效监控，确保绩效目标实现。</w:t>
      </w:r>
    </w:p>
    <w:p w14:paraId="1D2694F9">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黑体_GBK" w:cs="方正黑体_GBK"/>
          <w:bCs/>
          <w:color w:val="000000"/>
          <w:spacing w:val="0"/>
          <w:kern w:val="0"/>
          <w:sz w:val="32"/>
          <w:szCs w:val="32"/>
        </w:rPr>
      </w:pPr>
      <w:r>
        <w:rPr>
          <w:rFonts w:hint="eastAsia" w:ascii="宋体" w:hAnsi="宋体" w:eastAsia="方正黑体_GBK" w:cs="方正黑体_GBK"/>
          <w:bCs/>
          <w:color w:val="000000"/>
          <w:spacing w:val="0"/>
          <w:kern w:val="0"/>
          <w:sz w:val="32"/>
          <w:szCs w:val="32"/>
        </w:rPr>
        <w:t>二、</w:t>
      </w:r>
      <w:r>
        <w:rPr>
          <w:rFonts w:hint="eastAsia" w:ascii="宋体" w:hAnsi="宋体" w:eastAsia="方正黑体_GBK" w:cs="方正黑体_GBK"/>
          <w:bCs/>
          <w:color w:val="000000"/>
          <w:spacing w:val="0"/>
          <w:kern w:val="0"/>
          <w:sz w:val="32"/>
          <w:szCs w:val="32"/>
          <w:lang w:eastAsia="zh-CN"/>
        </w:rPr>
        <w:t>绩效</w:t>
      </w:r>
      <w:r>
        <w:rPr>
          <w:rFonts w:hint="eastAsia" w:ascii="宋体" w:hAnsi="宋体" w:eastAsia="方正黑体_GBK" w:cs="方正黑体_GBK"/>
          <w:bCs/>
          <w:color w:val="000000"/>
          <w:spacing w:val="0"/>
          <w:kern w:val="0"/>
          <w:sz w:val="32"/>
          <w:szCs w:val="32"/>
        </w:rPr>
        <w:t>情况分析</w:t>
      </w:r>
    </w:p>
    <w:p w14:paraId="59F6EDFA">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楷体_GBK" w:cs="Times New Roman"/>
          <w:color w:val="000000"/>
          <w:spacing w:val="0"/>
          <w:kern w:val="0"/>
          <w:sz w:val="32"/>
          <w:szCs w:val="32"/>
          <w:lang w:val="en-US" w:eastAsia="zh-CN" w:bidi="ar-SA"/>
        </w:rPr>
      </w:pPr>
      <w:r>
        <w:rPr>
          <w:rFonts w:hint="eastAsia" w:ascii="宋体" w:hAnsi="宋体" w:eastAsia="方正楷体_GBK" w:cs="Times New Roman"/>
          <w:color w:val="000000"/>
          <w:spacing w:val="0"/>
          <w:kern w:val="0"/>
          <w:sz w:val="32"/>
          <w:szCs w:val="32"/>
          <w:lang w:val="en-US" w:eastAsia="zh-CN" w:bidi="ar-SA"/>
        </w:rPr>
        <w:t>（一）资金投入情况</w:t>
      </w:r>
    </w:p>
    <w:p w14:paraId="39B0B434">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仿宋_GBK" w:cs="Times New Roman"/>
          <w:color w:val="000000"/>
          <w:spacing w:val="0"/>
          <w:kern w:val="0"/>
          <w:sz w:val="32"/>
          <w:szCs w:val="32"/>
          <w:lang w:val="en-US" w:eastAsia="zh-CN" w:bidi="ar-SA"/>
        </w:rPr>
      </w:pPr>
      <w:r>
        <w:rPr>
          <w:rFonts w:hint="eastAsia" w:ascii="宋体" w:hAnsi="宋体" w:eastAsia="方正仿宋_GBK" w:cs="Times New Roman"/>
          <w:color w:val="000000"/>
          <w:spacing w:val="0"/>
          <w:kern w:val="0"/>
          <w:sz w:val="32"/>
          <w:szCs w:val="32"/>
          <w:lang w:val="en-US" w:eastAsia="zh-CN" w:bidi="ar-SA"/>
        </w:rPr>
        <w:t>1.资金到位情况。2024年全省共筹集就业补助资金364975.45万元，其中：中央财政转移支付304845万元，同比增加28825万元；</w:t>
      </w:r>
      <w:r>
        <w:rPr>
          <w:rFonts w:hint="eastAsia" w:ascii="宋体" w:hAnsi="宋体" w:eastAsia="方正仿宋_GBK" w:cs="Times New Roman"/>
          <w:color w:val="000000"/>
          <w:spacing w:val="0"/>
          <w:w w:val="100"/>
          <w:kern w:val="0"/>
          <w:sz w:val="32"/>
          <w:szCs w:val="32"/>
          <w:highlight w:val="none"/>
          <w:lang w:val="en-US" w:eastAsia="zh-CN"/>
        </w:rPr>
        <w:t>省、市、县三级地方财政投入资金</w:t>
      </w:r>
      <w:r>
        <w:rPr>
          <w:rFonts w:hint="eastAsia" w:ascii="宋体" w:hAnsi="宋体" w:eastAsia="方正仿宋_GBK" w:cs="Times New Roman"/>
          <w:color w:val="000000"/>
          <w:spacing w:val="0"/>
          <w:kern w:val="0"/>
          <w:sz w:val="32"/>
          <w:szCs w:val="32"/>
          <w:lang w:val="en-US" w:eastAsia="zh-CN" w:bidi="ar-SA"/>
        </w:rPr>
        <w:t>59736.67万元，同比减少8989.33万元；其他资金393.78万元（包含其他收入392.73万元，利息收入1.05万元，其中其他收入主要是审计整改、业务自查发现问题追回或退回的补贴资金，利息收入为部分县区未销户就业补助资金专户结存资金产生利息）。</w:t>
      </w:r>
    </w:p>
    <w:p w14:paraId="50244361">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仿宋_GBK" w:cs="Times New Roman"/>
          <w:color w:val="000000"/>
          <w:spacing w:val="0"/>
          <w:kern w:val="0"/>
          <w:sz w:val="32"/>
          <w:szCs w:val="32"/>
          <w:lang w:val="en-US" w:eastAsia="zh-CN" w:bidi="ar-SA"/>
        </w:rPr>
      </w:pPr>
      <w:r>
        <w:rPr>
          <w:rFonts w:hint="eastAsia" w:ascii="宋体" w:hAnsi="宋体" w:eastAsia="方正仿宋_GBK" w:cs="Times New Roman"/>
          <w:b w:val="0"/>
          <w:color w:val="000000"/>
          <w:spacing w:val="0"/>
          <w:kern w:val="0"/>
          <w:sz w:val="32"/>
          <w:szCs w:val="32"/>
          <w:lang w:val="en-US" w:eastAsia="zh-CN" w:bidi="ar-SA"/>
        </w:rPr>
        <w:t>2.资金执行情况。2024年，全省共使用就业补助资金355739.44万元，预算执行率为97.47%，</w:t>
      </w:r>
      <w:r>
        <w:rPr>
          <w:rFonts w:hint="eastAsia" w:ascii="宋体" w:hAnsi="宋体" w:eastAsia="方正仿宋_GBK" w:cs="Times New Roman"/>
          <w:color w:val="000000"/>
          <w:spacing w:val="0"/>
          <w:kern w:val="0"/>
          <w:sz w:val="32"/>
          <w:szCs w:val="32"/>
          <w:lang w:val="en-US" w:eastAsia="zh-CN" w:bidi="ar-SA"/>
        </w:rPr>
        <w:t>年末全省当期结余</w:t>
      </w:r>
      <w:r>
        <w:rPr>
          <w:rFonts w:hint="default" w:ascii="宋体" w:hAnsi="宋体" w:eastAsia="方正仿宋_GBK" w:cs="Times New Roman"/>
          <w:color w:val="000000"/>
          <w:spacing w:val="0"/>
          <w:kern w:val="0"/>
          <w:sz w:val="32"/>
          <w:szCs w:val="32"/>
          <w:lang w:val="en" w:eastAsia="zh-CN" w:bidi="ar-SA"/>
        </w:rPr>
        <w:t>9236.01</w:t>
      </w:r>
      <w:r>
        <w:rPr>
          <w:rFonts w:hint="eastAsia" w:ascii="宋体" w:hAnsi="宋体" w:eastAsia="方正仿宋_GBK" w:cs="Times New Roman"/>
          <w:color w:val="000000"/>
          <w:spacing w:val="0"/>
          <w:kern w:val="0"/>
          <w:sz w:val="32"/>
          <w:szCs w:val="32"/>
          <w:lang w:val="en-US" w:eastAsia="zh-CN" w:bidi="ar-SA"/>
        </w:rPr>
        <w:t>万元。</w:t>
      </w:r>
    </w:p>
    <w:p w14:paraId="7D2CB7E0">
      <w:pPr>
        <w:keepNext w:val="0"/>
        <w:keepLines w:val="0"/>
        <w:pageBreakBefore w:val="0"/>
        <w:widowControl w:val="0"/>
        <w:numPr>
          <w:ilvl w:val="0"/>
          <w:numId w:val="1"/>
        </w:numPr>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楷体_GBK" w:cs="Times New Roman"/>
          <w:color w:val="000000"/>
          <w:spacing w:val="0"/>
          <w:kern w:val="0"/>
          <w:sz w:val="32"/>
          <w:szCs w:val="32"/>
          <w:lang w:val="en-US" w:eastAsia="zh-CN" w:bidi="ar-SA"/>
        </w:rPr>
      </w:pPr>
      <w:r>
        <w:rPr>
          <w:rFonts w:hint="eastAsia" w:ascii="宋体" w:hAnsi="宋体" w:eastAsia="方正楷体_GBK" w:cs="Times New Roman"/>
          <w:color w:val="000000"/>
          <w:spacing w:val="0"/>
          <w:kern w:val="0"/>
          <w:sz w:val="32"/>
          <w:szCs w:val="32"/>
          <w:lang w:val="en-US" w:eastAsia="zh-CN" w:bidi="ar-SA"/>
        </w:rPr>
        <w:t>资金管理情况</w:t>
      </w:r>
    </w:p>
    <w:p w14:paraId="5E77B137">
      <w:pPr>
        <w:keepNext w:val="0"/>
        <w:keepLines w:val="0"/>
        <w:pageBreakBefore w:val="0"/>
        <w:widowControl w:val="0"/>
        <w:numPr>
          <w:ilvl w:val="0"/>
          <w:numId w:val="0"/>
        </w:numPr>
        <w:kinsoku/>
        <w:wordWrap/>
        <w:overflowPunct/>
        <w:topLinePunct w:val="0"/>
        <w:autoSpaceDE/>
        <w:autoSpaceDN/>
        <w:bidi w:val="0"/>
        <w:adjustRightInd/>
        <w:snapToGrid w:val="0"/>
        <w:spacing w:line="574" w:lineRule="exact"/>
        <w:ind w:firstLine="624" w:firstLineChars="200"/>
        <w:textAlignment w:val="auto"/>
        <w:outlineLvl w:val="0"/>
        <w:rPr>
          <w:rFonts w:hint="default" w:ascii="宋体" w:hAnsi="宋体" w:eastAsia="方正仿宋_GBK" w:cs="Times New Roman"/>
          <w:color w:val="000000"/>
          <w:spacing w:val="0"/>
          <w:w w:val="100"/>
          <w:kern w:val="0"/>
          <w:sz w:val="32"/>
          <w:szCs w:val="32"/>
          <w:highlight w:val="none"/>
          <w:lang w:val="en-US" w:eastAsia="zh-CN"/>
        </w:rPr>
      </w:pPr>
      <w:r>
        <w:rPr>
          <w:rFonts w:hint="eastAsia" w:ascii="宋体" w:hAnsi="宋体" w:eastAsia="方正仿宋_GBK" w:cs="Times New Roman"/>
          <w:color w:val="000000"/>
          <w:spacing w:val="0"/>
          <w:w w:val="100"/>
          <w:kern w:val="0"/>
          <w:sz w:val="32"/>
          <w:szCs w:val="32"/>
          <w:lang w:val="en-US" w:eastAsia="zh-CN"/>
        </w:rPr>
        <w:t>1.</w:t>
      </w:r>
      <w:r>
        <w:rPr>
          <w:rFonts w:hint="eastAsia" w:ascii="宋体" w:hAnsi="宋体" w:eastAsia="方正仿宋_GBK" w:cs="Times New Roman"/>
          <w:color w:val="000000"/>
          <w:spacing w:val="0"/>
          <w:w w:val="100"/>
          <w:kern w:val="0"/>
          <w:sz w:val="32"/>
          <w:szCs w:val="32"/>
        </w:rPr>
        <w:t>资金分配科学</w:t>
      </w:r>
      <w:r>
        <w:rPr>
          <w:rFonts w:hint="eastAsia" w:ascii="宋体" w:hAnsi="宋体" w:eastAsia="方正仿宋_GBK" w:cs="Times New Roman"/>
          <w:color w:val="000000"/>
          <w:spacing w:val="0"/>
          <w:w w:val="100"/>
          <w:kern w:val="0"/>
          <w:sz w:val="32"/>
          <w:szCs w:val="32"/>
          <w:lang w:eastAsia="zh-CN"/>
        </w:rPr>
        <w:t>。</w:t>
      </w:r>
      <w:r>
        <w:rPr>
          <w:rFonts w:hint="eastAsia" w:ascii="宋体" w:hAnsi="宋体" w:eastAsia="方正仿宋_GBK" w:cs="Times New Roman"/>
          <w:color w:val="000000"/>
          <w:spacing w:val="0"/>
          <w:kern w:val="0"/>
          <w:sz w:val="32"/>
          <w:szCs w:val="32"/>
          <w:lang w:val="en-US" w:eastAsia="zh-CN" w:bidi="ar-SA"/>
        </w:rPr>
        <w:t>我省</w:t>
      </w:r>
      <w:r>
        <w:rPr>
          <w:rFonts w:hint="eastAsia" w:ascii="宋体" w:hAnsi="宋体" w:eastAsia="方正仿宋_GBK" w:cs="Times New Roman"/>
          <w:color w:val="000000"/>
          <w:spacing w:val="0"/>
          <w:w w:val="100"/>
          <w:kern w:val="0"/>
          <w:sz w:val="32"/>
          <w:szCs w:val="32"/>
        </w:rPr>
        <w:t>严格按照转移支付管理制度以及资金管理办法规定的</w:t>
      </w:r>
      <w:r>
        <w:rPr>
          <w:rFonts w:hint="eastAsia" w:ascii="宋体" w:hAnsi="宋体" w:eastAsia="方正仿宋_GBK" w:cs="Times New Roman"/>
          <w:color w:val="000000"/>
          <w:spacing w:val="0"/>
          <w:w w:val="100"/>
          <w:kern w:val="0"/>
          <w:sz w:val="32"/>
          <w:szCs w:val="32"/>
          <w:lang w:eastAsia="zh-CN"/>
        </w:rPr>
        <w:t>测算方式</w:t>
      </w:r>
      <w:r>
        <w:rPr>
          <w:rFonts w:hint="eastAsia" w:ascii="宋体" w:hAnsi="宋体" w:eastAsia="方正仿宋_GBK" w:cs="Times New Roman"/>
          <w:color w:val="000000"/>
          <w:spacing w:val="0"/>
          <w:w w:val="100"/>
          <w:kern w:val="0"/>
          <w:sz w:val="32"/>
          <w:szCs w:val="32"/>
        </w:rPr>
        <w:t>分配资金</w:t>
      </w:r>
      <w:r>
        <w:rPr>
          <w:rFonts w:hint="eastAsia" w:ascii="宋体" w:hAnsi="宋体" w:eastAsia="方正仿宋_GBK" w:cs="Times New Roman"/>
          <w:color w:val="000000"/>
          <w:spacing w:val="0"/>
          <w:w w:val="100"/>
          <w:kern w:val="0"/>
          <w:sz w:val="32"/>
          <w:szCs w:val="32"/>
          <w:lang w:eastAsia="zh-CN"/>
        </w:rPr>
        <w:t>，</w:t>
      </w:r>
      <w:r>
        <w:rPr>
          <w:rFonts w:hint="eastAsia" w:ascii="宋体" w:hAnsi="宋体" w:eastAsia="方正仿宋_GBK" w:cs="Times New Roman"/>
          <w:color w:val="000000"/>
          <w:spacing w:val="0"/>
          <w:kern w:val="0"/>
          <w:sz w:val="32"/>
          <w:szCs w:val="32"/>
          <w:lang w:val="en-US" w:eastAsia="zh-CN" w:bidi="ar-SA"/>
        </w:rPr>
        <w:t>在2024年资金分配时，按照公平、公正、科学、合理，推动就业创业政策落实，以及巩固拓展脱贫攻坚成果助力乡村振兴，重点支持高校毕业生、农村转移劳动力、就业困难群体就业创业等当年重点工作任务的分配原则，主要考虑劳动力人口基数、登记失业人数、城镇新增就业人数、预算执行、承担工作任务量等因素</w:t>
      </w:r>
      <w:r>
        <w:rPr>
          <w:rFonts w:hint="eastAsia" w:ascii="宋体" w:hAnsi="宋体" w:eastAsia="宋体" w:cs="宋体"/>
          <w:i w:val="0"/>
          <w:iCs w:val="0"/>
          <w:caps w:val="0"/>
          <w:color w:val="000000"/>
          <w:spacing w:val="0"/>
          <w:kern w:val="0"/>
          <w:sz w:val="32"/>
          <w:szCs w:val="32"/>
          <w:shd w:val="clear" w:color="auto" w:fill="FFFFFF"/>
        </w:rPr>
        <w:t>，</w:t>
      </w:r>
      <w:r>
        <w:rPr>
          <w:rFonts w:hint="eastAsia" w:ascii="宋体" w:hAnsi="宋体" w:eastAsia="方正仿宋_GBK" w:cs="Times New Roman"/>
          <w:color w:val="000000"/>
          <w:spacing w:val="0"/>
          <w:w w:val="100"/>
          <w:kern w:val="0"/>
          <w:sz w:val="32"/>
          <w:szCs w:val="32"/>
        </w:rPr>
        <w:t>更加突出绩效结果导向，侧重体现激励约束考核原则，</w:t>
      </w:r>
      <w:r>
        <w:rPr>
          <w:rFonts w:hint="eastAsia" w:ascii="宋体" w:hAnsi="宋体" w:eastAsia="方正仿宋_GBK" w:cs="Times New Roman"/>
          <w:color w:val="000000"/>
          <w:spacing w:val="0"/>
          <w:w w:val="100"/>
          <w:kern w:val="0"/>
          <w:sz w:val="32"/>
          <w:szCs w:val="32"/>
          <w:lang w:eastAsia="zh-CN"/>
        </w:rPr>
        <w:t>进一步提升</w:t>
      </w:r>
      <w:r>
        <w:rPr>
          <w:rFonts w:hint="eastAsia" w:ascii="宋体" w:hAnsi="宋体" w:eastAsia="方正仿宋_GBK" w:cs="Times New Roman"/>
          <w:color w:val="000000"/>
          <w:spacing w:val="0"/>
          <w:w w:val="100"/>
          <w:kern w:val="0"/>
          <w:sz w:val="32"/>
          <w:szCs w:val="32"/>
        </w:rPr>
        <w:t>资金分配的科学合理性。</w:t>
      </w:r>
    </w:p>
    <w:p w14:paraId="62B875F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24" w:firstLineChars="200"/>
        <w:textAlignment w:val="auto"/>
        <w:rPr>
          <w:rFonts w:hint="eastAsia" w:ascii="宋体" w:hAnsi="宋体" w:eastAsia="方正仿宋_GBK" w:cs="Times New Roman"/>
          <w:color w:val="000000"/>
          <w:spacing w:val="0"/>
          <w:kern w:val="0"/>
          <w:sz w:val="32"/>
          <w:szCs w:val="32"/>
          <w:lang w:val="en-US" w:eastAsia="zh-CN" w:bidi="ar-SA"/>
        </w:rPr>
      </w:pPr>
      <w:r>
        <w:rPr>
          <w:rFonts w:hint="eastAsia" w:ascii="宋体" w:hAnsi="宋体" w:eastAsia="方正仿宋_GBK" w:cs="Times New Roman"/>
          <w:color w:val="000000"/>
          <w:spacing w:val="0"/>
          <w:w w:val="100"/>
          <w:kern w:val="0"/>
          <w:sz w:val="32"/>
          <w:szCs w:val="32"/>
        </w:rPr>
        <w:t>2.资金下达</w:t>
      </w:r>
      <w:r>
        <w:rPr>
          <w:rFonts w:hint="eastAsia" w:ascii="宋体" w:hAnsi="宋体" w:eastAsia="方正仿宋_GBK" w:cs="Times New Roman"/>
          <w:color w:val="000000"/>
          <w:spacing w:val="0"/>
          <w:w w:val="100"/>
          <w:kern w:val="0"/>
          <w:sz w:val="32"/>
          <w:szCs w:val="32"/>
          <w:lang w:eastAsia="zh-CN"/>
        </w:rPr>
        <w:t>及时</w:t>
      </w:r>
      <w:r>
        <w:rPr>
          <w:rFonts w:hint="eastAsia" w:ascii="宋体" w:hAnsi="宋体" w:eastAsia="方正仿宋_GBK" w:cs="Times New Roman"/>
          <w:color w:val="000000"/>
          <w:spacing w:val="0"/>
          <w:w w:val="100"/>
          <w:kern w:val="0"/>
          <w:sz w:val="32"/>
          <w:szCs w:val="32"/>
        </w:rPr>
        <w:t>。严格按照预算法及其实施条例、转移支付管理制度规定以及资金管理办法规定</w:t>
      </w:r>
      <w:r>
        <w:rPr>
          <w:rFonts w:hint="eastAsia" w:ascii="宋体" w:hAnsi="宋体" w:eastAsia="宋体" w:cs="宋体"/>
          <w:color w:val="000000"/>
          <w:spacing w:val="0"/>
          <w:kern w:val="0"/>
          <w:sz w:val="32"/>
          <w:szCs w:val="32"/>
          <w:lang w:eastAsia="zh-CN"/>
        </w:rPr>
        <w:t>，</w:t>
      </w:r>
      <w:r>
        <w:rPr>
          <w:rFonts w:hint="eastAsia" w:ascii="宋体" w:hAnsi="宋体" w:eastAsia="方正仿宋_GBK" w:cs="Times New Roman"/>
          <w:color w:val="000000"/>
          <w:spacing w:val="0"/>
          <w:kern w:val="0"/>
          <w:sz w:val="32"/>
          <w:szCs w:val="32"/>
          <w:lang w:val="en-US" w:eastAsia="zh-CN" w:bidi="ar-SA"/>
        </w:rPr>
        <w:t>在收到上级资金文件30日内完成资金方案起草、会审及备案等分配下达工作，确保下达及时性。</w:t>
      </w:r>
    </w:p>
    <w:p w14:paraId="2E48EA51">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jc w:val="both"/>
        <w:textAlignment w:val="center"/>
        <w:rPr>
          <w:rFonts w:hint="eastAsia" w:ascii="宋体" w:hAnsi="宋体" w:eastAsia="方正仿宋_GBK" w:cs="方正书宋简体"/>
          <w:color w:val="000000"/>
          <w:spacing w:val="0"/>
          <w:w w:val="100"/>
          <w:kern w:val="0"/>
          <w:sz w:val="32"/>
          <w:szCs w:val="32"/>
          <w:lang w:val="zh-CN" w:eastAsia="zh-CN" w:bidi="ar-SA"/>
        </w:rPr>
      </w:pPr>
      <w:r>
        <w:rPr>
          <w:rFonts w:hint="eastAsia" w:ascii="宋体" w:hAnsi="宋体" w:eastAsia="方正仿宋_GBK" w:cs="方正书宋简体"/>
          <w:color w:val="000000"/>
          <w:spacing w:val="0"/>
          <w:w w:val="100"/>
          <w:kern w:val="0"/>
          <w:sz w:val="32"/>
          <w:szCs w:val="32"/>
          <w:lang w:val="zh-CN" w:eastAsia="zh-CN" w:bidi="ar-SA"/>
        </w:rPr>
        <w:t>3.资金拨付合规。严格按照国库集中支付制度有关规定支付资金，未出现违规将资金从国库转入财政专户或支付到预算单位实有资金账户等问题。</w:t>
      </w:r>
    </w:p>
    <w:p w14:paraId="34462AF8">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jc w:val="both"/>
        <w:textAlignment w:val="center"/>
        <w:rPr>
          <w:rFonts w:ascii="宋体" w:hAnsi="宋体" w:eastAsia="方正仿宋_GBK" w:cs="方正仿宋_GBK"/>
          <w:color w:val="000000"/>
          <w:spacing w:val="0"/>
          <w:kern w:val="0"/>
          <w:sz w:val="32"/>
          <w:szCs w:val="32"/>
          <w:shd w:val="clear" w:color="auto" w:fill="FFFFFF"/>
          <w:lang w:val="en-US" w:eastAsia="zh-CN" w:bidi="ar-SA"/>
        </w:rPr>
      </w:pPr>
      <w:r>
        <w:rPr>
          <w:rFonts w:hint="eastAsia" w:ascii="宋体" w:hAnsi="宋体" w:eastAsia="方正仿宋_GBK" w:cs="方正书宋简体"/>
          <w:color w:val="000000"/>
          <w:spacing w:val="0"/>
          <w:w w:val="100"/>
          <w:kern w:val="0"/>
          <w:sz w:val="32"/>
          <w:szCs w:val="32"/>
          <w:lang w:val="zh-CN" w:eastAsia="zh-CN" w:bidi="ar-SA"/>
        </w:rPr>
        <w:t>4.资金使用规范。严格按照下达预算的科目和项目执行，未出现截留、挤占、挪用或擅自调整等问题。</w:t>
      </w:r>
      <w:r>
        <w:rPr>
          <w:rFonts w:ascii="宋体" w:hAnsi="宋体" w:eastAsia="方正仿宋_GBK" w:cs="方正书宋简体"/>
          <w:bCs/>
          <w:color w:val="000000"/>
          <w:spacing w:val="0"/>
          <w:w w:val="100"/>
          <w:kern w:val="0"/>
          <w:sz w:val="32"/>
          <w:szCs w:val="32"/>
          <w:lang w:val="zh-CN" w:eastAsia="zh-CN" w:bidi="ar-SA"/>
        </w:rPr>
        <w:t>资金严格遵循收支两条线，专款专用。</w:t>
      </w:r>
      <w:r>
        <w:rPr>
          <w:rFonts w:hint="eastAsia" w:ascii="宋体" w:hAnsi="宋体" w:eastAsia="方正仿宋_GBK" w:cs="方正书宋简体"/>
          <w:bCs/>
          <w:color w:val="000000"/>
          <w:spacing w:val="0"/>
          <w:w w:val="100"/>
          <w:kern w:val="0"/>
          <w:sz w:val="32"/>
          <w:szCs w:val="32"/>
          <w:lang w:val="en-US" w:eastAsia="zh-CN" w:bidi="ar-SA"/>
        </w:rPr>
        <w:t>2024年省级人社部门</w:t>
      </w:r>
      <w:r>
        <w:rPr>
          <w:rFonts w:hint="eastAsia" w:ascii="宋体" w:hAnsi="宋体" w:eastAsia="方正仿宋_GBK" w:cs="方正仿宋_GBK"/>
          <w:color w:val="000000"/>
          <w:spacing w:val="0"/>
          <w:kern w:val="0"/>
          <w:sz w:val="32"/>
          <w:szCs w:val="32"/>
          <w:lang w:val="zh-CN" w:eastAsia="zh-CN" w:bidi="ar-SA"/>
        </w:rPr>
        <w:t>梳理公布就业补贴政策清单，下发经办指引，不断规范补贴申领材料、流程、经办渠道、办理时限等，要求各级</w:t>
      </w:r>
      <w:r>
        <w:rPr>
          <w:rFonts w:hint="eastAsia" w:ascii="宋体" w:hAnsi="宋体" w:eastAsia="方正仿宋_GBK" w:cs="方正书宋简体"/>
          <w:color w:val="000000"/>
          <w:spacing w:val="0"/>
          <w:w w:val="100"/>
          <w:kern w:val="0"/>
          <w:sz w:val="32"/>
          <w:szCs w:val="32"/>
          <w:lang w:val="zh-CN" w:eastAsia="zh-CN" w:bidi="ar-SA"/>
        </w:rPr>
        <w:t>项目经办机构严格按照国家和云南省《就业补助资金管理办法》中相关规定，</w:t>
      </w:r>
      <w:r>
        <w:rPr>
          <w:rFonts w:hint="eastAsia" w:ascii="宋体" w:hAnsi="宋体" w:eastAsia="方正仿宋_GBK" w:cs="方正仿宋_GBK"/>
          <w:color w:val="000000"/>
          <w:spacing w:val="0"/>
          <w:kern w:val="0"/>
          <w:sz w:val="32"/>
          <w:szCs w:val="32"/>
          <w:lang w:val="zh-CN" w:eastAsia="zh-CN" w:bidi="ar-SA"/>
        </w:rPr>
        <w:t>依托全省集中的就业信息平台，将补贴申请、受理、审核、拨付纳入系统管理。对面向个人的补贴，全部</w:t>
      </w:r>
      <w:r>
        <w:rPr>
          <w:rFonts w:hint="eastAsia" w:ascii="宋体" w:hAnsi="宋体" w:eastAsia="方正仿宋_GBK" w:cs="方正仿宋_GBK"/>
          <w:color w:val="000000"/>
          <w:spacing w:val="0"/>
          <w:kern w:val="0"/>
          <w:sz w:val="32"/>
          <w:szCs w:val="32"/>
          <w:lang w:val="en-US" w:eastAsia="zh-CN" w:bidi="ar-SA"/>
        </w:rPr>
        <w:t>纳入惠民惠农财政补贴资金“一卡通”管理平台</w:t>
      </w:r>
      <w:r>
        <w:rPr>
          <w:rFonts w:hint="eastAsia" w:ascii="宋体" w:hAnsi="宋体" w:eastAsia="方正仿宋_GBK" w:cs="方正书宋简体"/>
          <w:color w:val="000000"/>
          <w:spacing w:val="0"/>
          <w:w w:val="100"/>
          <w:kern w:val="0"/>
          <w:sz w:val="32"/>
          <w:szCs w:val="32"/>
          <w:lang w:val="zh-CN" w:eastAsia="zh-CN" w:bidi="ar-SA"/>
        </w:rPr>
        <w:t>报财政审核后，由财政支付，年终经办机构支出户清零的操作规程运作。</w:t>
      </w:r>
    </w:p>
    <w:p w14:paraId="3B82CFC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24" w:firstLineChars="200"/>
        <w:textAlignment w:val="auto"/>
        <w:rPr>
          <w:rFonts w:ascii="宋体" w:hAnsi="宋体" w:eastAsia="方正仿宋_GBK" w:cs="Times New Roman"/>
          <w:color w:val="000000"/>
          <w:spacing w:val="0"/>
          <w:w w:val="100"/>
          <w:kern w:val="0"/>
          <w:sz w:val="32"/>
          <w:szCs w:val="32"/>
        </w:rPr>
      </w:pPr>
      <w:r>
        <w:rPr>
          <w:rFonts w:hint="eastAsia" w:ascii="宋体" w:hAnsi="宋体" w:eastAsia="方正仿宋_GBK" w:cs="Times New Roman"/>
          <w:color w:val="000000"/>
          <w:spacing w:val="0"/>
          <w:w w:val="100"/>
          <w:kern w:val="0"/>
          <w:sz w:val="32"/>
          <w:szCs w:val="32"/>
        </w:rPr>
        <w:t>5.资金执行准确。按照上级下达和本级预算安排的金额执行，及时调整绩效目标指标任务，不存在执行数偏离预算数较多的问题。</w:t>
      </w:r>
    </w:p>
    <w:p w14:paraId="4DDC7A84">
      <w:pPr>
        <w:keepNext w:val="0"/>
        <w:keepLines w:val="0"/>
        <w:pageBreakBefore w:val="0"/>
        <w:widowControl w:val="0"/>
        <w:kinsoku/>
        <w:wordWrap/>
        <w:overflowPunct/>
        <w:topLinePunct w:val="0"/>
        <w:autoSpaceDE/>
        <w:autoSpaceDN/>
        <w:bidi w:val="0"/>
        <w:adjustRightInd w:val="0"/>
        <w:snapToGrid w:val="0"/>
        <w:spacing w:line="574" w:lineRule="exact"/>
        <w:ind w:firstLine="624" w:firstLineChars="200"/>
        <w:jc w:val="both"/>
        <w:textAlignment w:val="center"/>
        <w:rPr>
          <w:rFonts w:hint="eastAsia" w:ascii="宋体" w:hAnsi="宋体" w:eastAsia="方正仿宋_GBK" w:cs="Times New Roman"/>
          <w:color w:val="000000"/>
          <w:spacing w:val="0"/>
          <w:w w:val="100"/>
          <w:kern w:val="0"/>
          <w:sz w:val="32"/>
          <w:szCs w:val="32"/>
          <w:lang w:val="en-US" w:eastAsia="zh-CN" w:bidi="ar-SA"/>
        </w:rPr>
      </w:pPr>
      <w:r>
        <w:rPr>
          <w:rFonts w:hint="eastAsia" w:ascii="宋体" w:hAnsi="宋体" w:eastAsia="方正仿宋_GBK" w:cs="方正仿宋_GBK"/>
          <w:color w:val="000000"/>
          <w:spacing w:val="0"/>
          <w:kern w:val="0"/>
          <w:sz w:val="32"/>
          <w:szCs w:val="32"/>
          <w:shd w:val="clear" w:color="auto" w:fill="FFFFFF"/>
          <w:lang w:val="en-US" w:eastAsia="zh-CN" w:bidi="ar-SA"/>
        </w:rPr>
        <w:t>6.资金监管有力。</w:t>
      </w:r>
      <w:r>
        <w:rPr>
          <w:rFonts w:hint="eastAsia" w:ascii="宋体" w:hAnsi="宋体" w:eastAsia="方正仿宋_GBK" w:cs="Times New Roman"/>
          <w:color w:val="000000"/>
          <w:spacing w:val="0"/>
          <w:w w:val="100"/>
          <w:kern w:val="0"/>
          <w:sz w:val="32"/>
          <w:szCs w:val="32"/>
          <w:lang w:val="en-US" w:eastAsia="zh-CN" w:bidi="ar-SA"/>
        </w:rPr>
        <w:t>督促各地聚焦就业补助资金申请审核、管理使用、信息公开、监督检查等环节，对相关制度规定查缺补漏，及时更新完善，加强事中事后监管，通过12333热线、举报</w:t>
      </w:r>
      <w:r>
        <w:rPr>
          <w:rFonts w:hint="default" w:ascii="宋体" w:hAnsi="宋体" w:eastAsia="方正仿宋_GBK" w:cs="Times New Roman"/>
          <w:color w:val="000000"/>
          <w:spacing w:val="0"/>
          <w:w w:val="100"/>
          <w:kern w:val="0"/>
          <w:sz w:val="32"/>
          <w:szCs w:val="32"/>
          <w:lang w:val="zh-CN" w:eastAsia="zh-CN" w:bidi="ar-SA"/>
        </w:rPr>
        <w:t>平台</w:t>
      </w:r>
      <w:r>
        <w:rPr>
          <w:rFonts w:hint="eastAsia" w:ascii="宋体" w:hAnsi="宋体" w:eastAsia="方正仿宋_GBK" w:cs="Times New Roman"/>
          <w:color w:val="000000"/>
          <w:spacing w:val="0"/>
          <w:w w:val="100"/>
          <w:kern w:val="0"/>
          <w:sz w:val="32"/>
          <w:szCs w:val="32"/>
          <w:lang w:val="en-US" w:eastAsia="zh-CN" w:bidi="ar-SA"/>
        </w:rPr>
        <w:t>等方式，</w:t>
      </w:r>
      <w:r>
        <w:rPr>
          <w:rFonts w:hint="default" w:ascii="宋体" w:hAnsi="宋体" w:eastAsia="方正仿宋_GBK" w:cs="Times New Roman"/>
          <w:color w:val="000000"/>
          <w:spacing w:val="0"/>
          <w:w w:val="100"/>
          <w:kern w:val="0"/>
          <w:sz w:val="32"/>
          <w:szCs w:val="32"/>
          <w:lang w:val="zh-CN" w:eastAsia="zh-CN" w:bidi="ar-SA"/>
        </w:rPr>
        <w:t>畅通</w:t>
      </w:r>
      <w:r>
        <w:rPr>
          <w:rFonts w:hint="eastAsia" w:ascii="宋体" w:hAnsi="宋体" w:eastAsia="方正仿宋_GBK" w:cs="Times New Roman"/>
          <w:color w:val="000000"/>
          <w:spacing w:val="0"/>
          <w:w w:val="100"/>
          <w:kern w:val="0"/>
          <w:sz w:val="32"/>
          <w:szCs w:val="32"/>
          <w:lang w:val="en-US" w:eastAsia="zh-CN" w:bidi="ar-SA"/>
        </w:rPr>
        <w:t>就业补助资金违规问题公开举报渠道，发挥社会监督作用，健全就业补助资金管理使用监督体系。定期督促各地对补贴金额大、人数多、期限长的补贴对象加强核查抽查，防范出现造假</w:t>
      </w:r>
      <w:r>
        <w:rPr>
          <w:rFonts w:hint="default" w:ascii="宋体" w:hAnsi="宋体" w:eastAsia="方正仿宋_GBK" w:cs="Times New Roman"/>
          <w:color w:val="000000"/>
          <w:spacing w:val="0"/>
          <w:w w:val="100"/>
          <w:kern w:val="0"/>
          <w:sz w:val="32"/>
          <w:szCs w:val="32"/>
          <w:lang w:val="zh-CN" w:eastAsia="zh-CN" w:bidi="ar-SA"/>
        </w:rPr>
        <w:t>、违规</w:t>
      </w:r>
      <w:r>
        <w:rPr>
          <w:rFonts w:hint="eastAsia" w:ascii="宋体" w:hAnsi="宋体" w:eastAsia="方正仿宋_GBK" w:cs="Times New Roman"/>
          <w:color w:val="000000"/>
          <w:spacing w:val="0"/>
          <w:w w:val="100"/>
          <w:kern w:val="0"/>
          <w:sz w:val="32"/>
          <w:szCs w:val="32"/>
          <w:lang w:val="en-US" w:eastAsia="zh-CN" w:bidi="ar-SA"/>
        </w:rPr>
        <w:t>行为。</w:t>
      </w:r>
    </w:p>
    <w:p w14:paraId="1B920D39">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仿宋_GBK" w:cs="Times New Roman"/>
          <w:color w:val="000000"/>
          <w:spacing w:val="0"/>
          <w:w w:val="100"/>
          <w:kern w:val="0"/>
          <w:sz w:val="32"/>
          <w:szCs w:val="32"/>
          <w:lang w:val="en-US" w:eastAsia="zh-CN" w:bidi="ar-SA"/>
        </w:rPr>
      </w:pPr>
      <w:r>
        <w:rPr>
          <w:rFonts w:hint="eastAsia" w:ascii="宋体" w:hAnsi="宋体" w:eastAsia="方正仿宋_GBK" w:cs="Times New Roman"/>
          <w:color w:val="000000"/>
          <w:spacing w:val="0"/>
          <w:w w:val="100"/>
          <w:kern w:val="0"/>
          <w:sz w:val="32"/>
          <w:szCs w:val="32"/>
          <w:lang w:val="en-US" w:eastAsia="zh-CN" w:bidi="ar-SA"/>
        </w:rPr>
        <w:t>7.资金绩效强化。切实树牢绩效导向，加强全过程绩效管理。强化绩效目标设定，结合就业工作任务目标以及重点工作，制定详细绩效目标，在下达补助资金时同步下达绩效目标，并督促州（市）做好分解下达落实工作，定期对资金执行进度进行调度，并对进度滞后的地方进行督促、约谈，推动绩效目标高效完成。强化绩效评价结果运用，在分配就业补助资金时，将资金绩效评价结果和财政重点绩效评价市县绩效结果作为重要分配因素，对管理绩效好的地区给予倾斜和支持。</w:t>
      </w:r>
    </w:p>
    <w:p w14:paraId="7BD57E99">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楷体_GBK" w:cs="Times New Roman"/>
          <w:color w:val="000000"/>
          <w:spacing w:val="0"/>
          <w:kern w:val="0"/>
          <w:sz w:val="32"/>
          <w:szCs w:val="32"/>
          <w:lang w:val="en-US" w:eastAsia="zh-CN" w:bidi="ar-SA"/>
        </w:rPr>
      </w:pPr>
      <w:r>
        <w:rPr>
          <w:rFonts w:hint="eastAsia" w:ascii="宋体" w:hAnsi="宋体" w:eastAsia="方正楷体_GBK" w:cs="Times New Roman"/>
          <w:color w:val="000000"/>
          <w:spacing w:val="0"/>
          <w:kern w:val="0"/>
          <w:sz w:val="32"/>
          <w:szCs w:val="32"/>
          <w:lang w:val="en-US" w:eastAsia="zh-CN" w:bidi="ar-SA"/>
        </w:rPr>
        <w:t>（三）总体绩效目标完成情况分析</w:t>
      </w:r>
    </w:p>
    <w:p w14:paraId="26821511">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仿宋_GBK" w:cs="Times New Roman"/>
          <w:color w:val="000000"/>
          <w:spacing w:val="0"/>
          <w:w w:val="100"/>
          <w:kern w:val="0"/>
          <w:sz w:val="32"/>
          <w:szCs w:val="32"/>
          <w:lang w:val="en-US" w:eastAsia="zh-CN" w:bidi="ar-SA"/>
        </w:rPr>
      </w:pPr>
      <w:r>
        <w:rPr>
          <w:rFonts w:hint="eastAsia" w:ascii="宋体" w:hAnsi="宋体" w:eastAsia="方正仿宋_GBK" w:cs="Times New Roman"/>
          <w:color w:val="000000"/>
          <w:spacing w:val="0"/>
          <w:w w:val="100"/>
          <w:kern w:val="0"/>
          <w:sz w:val="32"/>
          <w:szCs w:val="32"/>
          <w:lang w:val="en-US" w:eastAsia="zh-CN" w:bidi="ar-SA"/>
        </w:rPr>
        <w:t>202</w:t>
      </w:r>
      <w:r>
        <w:rPr>
          <w:rFonts w:hint="default" w:ascii="宋体" w:hAnsi="宋体" w:eastAsia="方正仿宋_GBK" w:cs="Times New Roman"/>
          <w:color w:val="000000"/>
          <w:spacing w:val="0"/>
          <w:w w:val="100"/>
          <w:kern w:val="0"/>
          <w:sz w:val="32"/>
          <w:szCs w:val="32"/>
          <w:lang w:eastAsia="zh-CN" w:bidi="ar-SA"/>
        </w:rPr>
        <w:t>4</w:t>
      </w:r>
      <w:r>
        <w:rPr>
          <w:rFonts w:hint="eastAsia" w:ascii="宋体" w:hAnsi="宋体" w:eastAsia="方正仿宋_GBK" w:cs="Times New Roman"/>
          <w:color w:val="000000"/>
          <w:spacing w:val="0"/>
          <w:w w:val="100"/>
          <w:kern w:val="0"/>
          <w:sz w:val="32"/>
          <w:szCs w:val="32"/>
          <w:lang w:val="en-US" w:eastAsia="zh-CN" w:bidi="ar-SA"/>
        </w:rPr>
        <w:t>年，</w:t>
      </w:r>
      <w:r>
        <w:rPr>
          <w:rFonts w:hint="eastAsia" w:ascii="宋体" w:hAnsi="宋体" w:eastAsia="方正仿宋_GBK" w:cs="Times New Roman"/>
          <w:color w:val="000000"/>
          <w:spacing w:val="0"/>
          <w:kern w:val="0"/>
          <w:sz w:val="32"/>
          <w:szCs w:val="32"/>
          <w:lang w:val="en-US" w:eastAsia="zh-CN"/>
        </w:rPr>
        <w:t>云南省持续贯彻落实党中央、国务院“促进高质量充分就业”决策部署，围绕</w:t>
      </w:r>
      <w:r>
        <w:rPr>
          <w:rFonts w:hint="default" w:ascii="宋体" w:hAnsi="宋体" w:eastAsia="方正仿宋_GBK" w:cs="Times New Roman"/>
          <w:color w:val="000000"/>
          <w:spacing w:val="0"/>
          <w:kern w:val="0"/>
          <w:sz w:val="32"/>
          <w:szCs w:val="32"/>
          <w:lang w:val="en-US" w:eastAsia="zh-CN"/>
        </w:rPr>
        <w:t>实施“3815”战略，落实落细就业优先政策，</w:t>
      </w:r>
      <w:r>
        <w:rPr>
          <w:rFonts w:hint="eastAsia" w:ascii="宋体" w:hAnsi="宋体" w:eastAsia="方正仿宋_GBK" w:cs="Times New Roman"/>
          <w:color w:val="000000"/>
          <w:spacing w:val="0"/>
          <w:kern w:val="0"/>
          <w:sz w:val="32"/>
          <w:szCs w:val="32"/>
          <w:lang w:val="en-US" w:eastAsia="zh-CN"/>
        </w:rPr>
        <w:t>一体推进“产业强省、企业兴省、就业稳省”，将“稳定和扩大就业”列为年度10件惠民实事之首，并将就业补助资金执行率纳入对州（市）政府综合绩效考评，不断强化就业补助资金使用管理，全面落实职业培训补贴、职业技能评价补贴、社会保险补贴、公益性岗位补贴、就业见习补贴、一次性求职补贴、一次性创业补贴、就业创业服务补助、高技能人才培养补助等就业补贴补助政策，如期实现既定就业工作目标任务。全省</w:t>
      </w:r>
      <w:r>
        <w:rPr>
          <w:rFonts w:hint="default" w:ascii="宋体" w:hAnsi="宋体" w:eastAsia="方正仿宋_GBK" w:cs="Times New Roman"/>
          <w:color w:val="000000"/>
          <w:spacing w:val="0"/>
          <w:kern w:val="0"/>
          <w:sz w:val="32"/>
          <w:szCs w:val="32"/>
          <w:lang w:val="en-US" w:eastAsia="zh-CN"/>
        </w:rPr>
        <w:t>就业形势总体稳定</w:t>
      </w:r>
      <w:r>
        <w:rPr>
          <w:rFonts w:hint="eastAsia" w:ascii="宋体" w:hAnsi="宋体" w:eastAsia="方正仿宋_GBK" w:cs="Times New Roman"/>
          <w:color w:val="000000"/>
          <w:spacing w:val="0"/>
          <w:kern w:val="0"/>
          <w:sz w:val="32"/>
          <w:szCs w:val="32"/>
          <w:lang w:val="en-US" w:eastAsia="zh-CN"/>
        </w:rPr>
        <w:t>、稳中向好</w:t>
      </w:r>
      <w:r>
        <w:rPr>
          <w:rFonts w:hint="default" w:ascii="宋体" w:hAnsi="宋体" w:eastAsia="方正仿宋_GBK" w:cs="宋体"/>
          <w:b w:val="0"/>
          <w:bCs w:val="0"/>
          <w:color w:val="000000"/>
          <w:spacing w:val="0"/>
          <w:kern w:val="0"/>
          <w:sz w:val="32"/>
          <w:szCs w:val="32"/>
          <w:u w:val="none" w:color="auto"/>
          <w:lang w:val="en-US" w:eastAsia="zh-CN" w:bidi="ar-SA"/>
        </w:rPr>
        <w:t>，</w:t>
      </w:r>
      <w:r>
        <w:rPr>
          <w:rFonts w:hint="default" w:ascii="宋体" w:hAnsi="宋体" w:eastAsia="方正仿宋_GBK" w:cs="Times New Roman"/>
          <w:color w:val="000000"/>
          <w:spacing w:val="0"/>
          <w:w w:val="100"/>
          <w:kern w:val="0"/>
          <w:sz w:val="32"/>
          <w:szCs w:val="32"/>
          <w:lang w:val="en-US" w:eastAsia="zh-CN" w:bidi="ar-SA"/>
        </w:rPr>
        <w:t>为经济回升和社会稳定提供了重要支撑</w:t>
      </w:r>
      <w:r>
        <w:rPr>
          <w:rFonts w:hint="eastAsia" w:ascii="宋体" w:hAnsi="宋体" w:eastAsia="方正仿宋_GBK" w:cs="Times New Roman"/>
          <w:color w:val="000000"/>
          <w:spacing w:val="0"/>
          <w:w w:val="100"/>
          <w:kern w:val="0"/>
          <w:sz w:val="32"/>
          <w:szCs w:val="32"/>
          <w:lang w:val="en-US" w:eastAsia="zh-CN" w:bidi="ar-SA"/>
        </w:rPr>
        <w:t>。</w:t>
      </w:r>
      <w:r>
        <w:rPr>
          <w:rFonts w:hint="default" w:ascii="宋体" w:hAnsi="宋体" w:eastAsia="方正仿宋_GBK" w:cs="Times New Roman"/>
          <w:color w:val="000000"/>
          <w:spacing w:val="0"/>
          <w:w w:val="100"/>
          <w:kern w:val="0"/>
          <w:sz w:val="32"/>
          <w:szCs w:val="32"/>
          <w:lang w:val="en-US" w:eastAsia="zh-CN" w:bidi="ar-SA"/>
        </w:rPr>
        <w:t>特别是经过各级不懈努力，初步建成“四位一体”公共就业服务体系</w:t>
      </w:r>
      <w:r>
        <w:rPr>
          <w:rFonts w:hint="eastAsia" w:ascii="宋体" w:hAnsi="宋体" w:eastAsia="方正仿宋_GBK" w:cs="Times New Roman"/>
          <w:color w:val="000000"/>
          <w:spacing w:val="0"/>
          <w:w w:val="100"/>
          <w:kern w:val="0"/>
          <w:sz w:val="32"/>
          <w:szCs w:val="32"/>
          <w:lang w:val="en-US" w:eastAsia="zh-CN" w:bidi="ar-SA"/>
        </w:rPr>
        <w:t>，我省普洱市获评“2024年度全国公共就业服务能力提升示范项目”并得到资金支持，</w:t>
      </w:r>
      <w:r>
        <w:rPr>
          <w:rFonts w:hint="default" w:ascii="宋体" w:hAnsi="宋体" w:eastAsia="方正仿宋_GBK" w:cs="Times New Roman"/>
          <w:color w:val="000000"/>
          <w:spacing w:val="0"/>
          <w:w w:val="100"/>
          <w:kern w:val="0"/>
          <w:sz w:val="32"/>
          <w:szCs w:val="32"/>
          <w:lang w:val="en-US" w:eastAsia="zh-CN" w:bidi="ar-SA"/>
        </w:rPr>
        <w:t>创新建设就业“幸福里”社区被国务院作为改革典型案例。</w:t>
      </w:r>
    </w:p>
    <w:p w14:paraId="155B0C1A">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outlineLvl w:val="0"/>
        <w:rPr>
          <w:rFonts w:hint="eastAsia" w:ascii="宋体" w:hAnsi="宋体" w:eastAsia="方正楷体_GBK" w:cs="Times New Roman"/>
          <w:color w:val="000000"/>
          <w:spacing w:val="0"/>
          <w:kern w:val="0"/>
          <w:sz w:val="32"/>
          <w:szCs w:val="32"/>
          <w:lang w:val="en-US" w:eastAsia="zh-CN" w:bidi="ar-SA"/>
        </w:rPr>
      </w:pPr>
      <w:r>
        <w:rPr>
          <w:rFonts w:hint="eastAsia" w:ascii="宋体" w:hAnsi="宋体" w:eastAsia="方正楷体_GBK" w:cs="Times New Roman"/>
          <w:color w:val="000000"/>
          <w:spacing w:val="0"/>
          <w:kern w:val="0"/>
          <w:sz w:val="32"/>
          <w:szCs w:val="32"/>
          <w:lang w:val="en-US" w:eastAsia="zh-CN" w:bidi="ar-SA"/>
        </w:rPr>
        <w:t>（四）绩效指标完成情况分析</w:t>
      </w:r>
    </w:p>
    <w:p w14:paraId="2A412BBC">
      <w:pPr>
        <w:keepNext w:val="0"/>
        <w:keepLines w:val="0"/>
        <w:pageBreakBefore w:val="0"/>
        <w:widowControl w:val="0"/>
        <w:kinsoku/>
        <w:wordWrap/>
        <w:overflowPunct/>
        <w:topLinePunct w:val="0"/>
        <w:autoSpaceDE/>
        <w:autoSpaceDN/>
        <w:bidi w:val="0"/>
        <w:spacing w:line="574" w:lineRule="exact"/>
        <w:ind w:firstLine="624" w:firstLineChars="200"/>
        <w:jc w:val="both"/>
        <w:outlineLvl w:val="2"/>
        <w:rPr>
          <w:rFonts w:hint="eastAsia" w:ascii="宋体" w:hAnsi="宋体" w:eastAsia="方正仿宋_GBK" w:cs="Times New Roman"/>
          <w:color w:val="000000"/>
          <w:spacing w:val="0"/>
          <w:kern w:val="0"/>
          <w:sz w:val="32"/>
          <w:szCs w:val="32"/>
          <w:u w:val="none" w:color="auto"/>
          <w:lang w:val="en-US" w:eastAsia="zh-CN" w:bidi="ar-SA"/>
        </w:rPr>
      </w:pPr>
      <w:r>
        <w:rPr>
          <w:rFonts w:hint="eastAsia" w:ascii="宋体" w:hAnsi="宋体" w:eastAsia="方正仿宋_GBK" w:cs="Times New Roman"/>
          <w:color w:val="000000"/>
          <w:spacing w:val="0"/>
          <w:kern w:val="0"/>
          <w:sz w:val="32"/>
          <w:szCs w:val="32"/>
          <w:u w:val="none" w:color="auto"/>
          <w:lang w:val="en-US" w:eastAsia="zh-CN" w:bidi="ar-SA"/>
        </w:rPr>
        <w:t>1.产出指标完成情况</w:t>
      </w:r>
    </w:p>
    <w:p w14:paraId="04000358">
      <w:pPr>
        <w:keepNext w:val="0"/>
        <w:keepLines w:val="0"/>
        <w:pageBreakBefore w:val="0"/>
        <w:widowControl w:val="0"/>
        <w:kinsoku/>
        <w:wordWrap/>
        <w:overflowPunct/>
        <w:topLinePunct w:val="0"/>
        <w:autoSpaceDE/>
        <w:autoSpaceDN/>
        <w:bidi w:val="0"/>
        <w:adjustRightInd/>
        <w:snapToGrid/>
        <w:spacing w:line="574" w:lineRule="exact"/>
        <w:ind w:firstLine="624" w:firstLineChars="200"/>
        <w:textAlignment w:val="auto"/>
        <w:rPr>
          <w:rFonts w:hint="eastAsia" w:ascii="宋体" w:hAnsi="宋体" w:eastAsia="方正仿宋_GBK" w:cs="Times New Roman"/>
          <w:color w:val="000000"/>
          <w:spacing w:val="0"/>
          <w:kern w:val="0"/>
          <w:sz w:val="32"/>
          <w:szCs w:val="32"/>
          <w:shd w:val="clear" w:color="auto" w:fill="auto"/>
          <w:lang w:val="en-US" w:eastAsia="zh-CN" w:bidi="ar-SA"/>
        </w:rPr>
      </w:pPr>
      <w:r>
        <w:rPr>
          <w:rFonts w:hint="eastAsia" w:ascii="宋体" w:hAnsi="宋体" w:eastAsia="方正仿宋_GBK" w:cs="Times New Roman"/>
          <w:color w:val="000000"/>
          <w:spacing w:val="0"/>
          <w:kern w:val="0"/>
          <w:sz w:val="32"/>
          <w:szCs w:val="32"/>
          <w:u w:val="none" w:color="auto"/>
          <w:lang w:val="en-US" w:eastAsia="zh-CN" w:bidi="ar-SA"/>
        </w:rPr>
        <w:t>（1）数量指标。2024年年度各项数量指标均完成。</w:t>
      </w:r>
      <w:r>
        <w:rPr>
          <w:rFonts w:hint="eastAsia" w:ascii="宋体" w:hAnsi="宋体" w:eastAsia="方正仿宋_GBK" w:cs="Times New Roman"/>
          <w:color w:val="000000"/>
          <w:spacing w:val="0"/>
          <w:kern w:val="0"/>
          <w:sz w:val="32"/>
          <w:szCs w:val="32"/>
          <w:shd w:val="clear" w:color="auto" w:fill="auto"/>
          <w:lang w:val="en-US" w:eastAsia="zh-CN" w:bidi="ar-SA"/>
        </w:rPr>
        <w:t>全省享受职业培训补贴52.30万人次、社会保险补贴11.51万人次、就业见习补贴</w:t>
      </w:r>
      <w:r>
        <w:rPr>
          <w:rFonts w:hint="eastAsia" w:ascii="宋体" w:hAnsi="宋体" w:eastAsia="方正仿宋_GBK" w:cs="Times New Roman"/>
          <w:color w:val="000000"/>
          <w:spacing w:val="0"/>
          <w:kern w:val="0"/>
          <w:sz w:val="32"/>
          <w:szCs w:val="32"/>
          <w:highlight w:val="none"/>
          <w:shd w:val="clear" w:color="auto" w:fill="auto"/>
          <w:lang w:val="en-US" w:eastAsia="zh-CN" w:bidi="ar-SA"/>
        </w:rPr>
        <w:t>1.80</w:t>
      </w:r>
      <w:r>
        <w:rPr>
          <w:rFonts w:hint="eastAsia" w:ascii="宋体" w:hAnsi="宋体" w:eastAsia="方正仿宋_GBK" w:cs="Times New Roman"/>
          <w:color w:val="000000"/>
          <w:spacing w:val="0"/>
          <w:kern w:val="0"/>
          <w:sz w:val="32"/>
          <w:szCs w:val="32"/>
          <w:shd w:val="clear" w:color="auto" w:fill="auto"/>
          <w:lang w:val="en-US" w:eastAsia="zh-CN" w:bidi="ar-SA"/>
        </w:rPr>
        <w:t>万人次；建设国家级高技能人才培训基地5个、建设国家级大师工作室5个。</w:t>
      </w:r>
    </w:p>
    <w:p w14:paraId="14F19FEA">
      <w:pPr>
        <w:keepNext w:val="0"/>
        <w:keepLines w:val="0"/>
        <w:pageBreakBefore w:val="0"/>
        <w:widowControl w:val="0"/>
        <w:kinsoku/>
        <w:wordWrap/>
        <w:overflowPunct/>
        <w:topLinePunct w:val="0"/>
        <w:autoSpaceDE/>
        <w:autoSpaceDN/>
        <w:bidi w:val="0"/>
        <w:adjustRightInd/>
        <w:snapToGrid/>
        <w:spacing w:line="574" w:lineRule="exact"/>
        <w:ind w:left="0" w:leftChars="0" w:firstLine="624" w:firstLineChars="200"/>
        <w:jc w:val="both"/>
        <w:textAlignment w:val="auto"/>
        <w:outlineLvl w:val="2"/>
        <w:rPr>
          <w:rFonts w:hint="eastAsia" w:ascii="宋体" w:hAnsi="宋体" w:eastAsia="方正仿宋_GBK" w:cs="Times New Roman"/>
          <w:color w:val="000000"/>
          <w:spacing w:val="0"/>
          <w:kern w:val="0"/>
          <w:sz w:val="32"/>
          <w:szCs w:val="32"/>
          <w:u w:val="none" w:color="auto"/>
          <w:lang w:val="en-US" w:eastAsia="zh-CN" w:bidi="ar-SA"/>
        </w:rPr>
      </w:pPr>
      <w:r>
        <w:rPr>
          <w:rFonts w:hint="eastAsia" w:ascii="宋体" w:hAnsi="宋体" w:eastAsia="方正仿宋_GBK" w:cs="Times New Roman"/>
          <w:color w:val="000000"/>
          <w:spacing w:val="0"/>
          <w:kern w:val="0"/>
          <w:sz w:val="32"/>
          <w:szCs w:val="32"/>
          <w:shd w:val="clear" w:color="auto" w:fill="auto"/>
          <w:lang w:val="en-US" w:eastAsia="zh-CN" w:bidi="ar-SA"/>
        </w:rPr>
        <w:t>（2）质量指标。</w:t>
      </w:r>
      <w:r>
        <w:rPr>
          <w:rFonts w:hint="eastAsia" w:ascii="宋体" w:hAnsi="宋体" w:eastAsia="方正仿宋_GBK" w:cs="Times New Roman"/>
          <w:color w:val="000000"/>
          <w:spacing w:val="0"/>
          <w:kern w:val="0"/>
          <w:sz w:val="32"/>
          <w:szCs w:val="32"/>
          <w:u w:val="none" w:color="auto"/>
          <w:lang w:val="en-US" w:eastAsia="zh-CN" w:bidi="ar-SA"/>
        </w:rPr>
        <w:t>2024年年度各项质量指标均完成。全省毕业年度高校毕业生享受一次性求职补贴10.8万人，就业困难人员享受公益性岗位补贴3万人。</w:t>
      </w:r>
    </w:p>
    <w:p w14:paraId="71F5A85F">
      <w:pPr>
        <w:keepNext w:val="0"/>
        <w:keepLines w:val="0"/>
        <w:pageBreakBefore w:val="0"/>
        <w:widowControl w:val="0"/>
        <w:kinsoku/>
        <w:wordWrap/>
        <w:overflowPunct/>
        <w:topLinePunct w:val="0"/>
        <w:autoSpaceDE/>
        <w:autoSpaceDN/>
        <w:bidi w:val="0"/>
        <w:adjustRightInd/>
        <w:snapToGrid/>
        <w:spacing w:line="574" w:lineRule="exact"/>
        <w:ind w:firstLine="624" w:firstLineChars="200"/>
        <w:textAlignment w:val="auto"/>
        <w:rPr>
          <w:rFonts w:hint="eastAsia" w:ascii="宋体" w:hAnsi="宋体" w:eastAsia="方正仿宋_GBK" w:cs="Times New Roman"/>
          <w:color w:val="000000"/>
          <w:spacing w:val="0"/>
          <w:kern w:val="0"/>
          <w:sz w:val="32"/>
          <w:szCs w:val="32"/>
          <w:highlight w:val="none"/>
          <w:u w:val="none" w:color="auto"/>
          <w:lang w:val="en-US" w:eastAsia="zh-CN" w:bidi="ar-SA"/>
        </w:rPr>
      </w:pPr>
      <w:r>
        <w:rPr>
          <w:rFonts w:hint="eastAsia" w:ascii="宋体" w:hAnsi="宋体" w:eastAsia="方正仿宋_GBK" w:cs="Times New Roman"/>
          <w:color w:val="000000"/>
          <w:spacing w:val="0"/>
          <w:kern w:val="0"/>
          <w:sz w:val="32"/>
          <w:szCs w:val="32"/>
          <w:u w:val="none" w:color="auto"/>
          <w:lang w:val="en-US" w:eastAsia="zh-CN" w:bidi="ar-SA"/>
        </w:rPr>
        <w:t>（3）时效指标。我省严格按照预算管理和直达资金管理要求，在收到中央财政补助资金下达（含提前下达）</w:t>
      </w:r>
      <w:r>
        <w:rPr>
          <w:rFonts w:hint="eastAsia" w:ascii="宋体" w:hAnsi="宋体" w:eastAsia="方正仿宋_GBK" w:cs="Times New Roman"/>
          <w:color w:val="000000"/>
          <w:spacing w:val="0"/>
          <w:kern w:val="0"/>
          <w:sz w:val="32"/>
          <w:szCs w:val="32"/>
          <w:highlight w:val="none"/>
          <w:u w:val="none" w:color="auto"/>
          <w:lang w:val="en-US" w:eastAsia="zh-CN" w:bidi="ar-SA"/>
        </w:rPr>
        <w:t>文件后30天内制定分配方案报财政部备案，并按财政部备案意见下达预算，补贴资金在规定时间内下达率100%。</w:t>
      </w:r>
    </w:p>
    <w:p w14:paraId="28B4EF0E">
      <w:pPr>
        <w:keepNext w:val="0"/>
        <w:keepLines w:val="0"/>
        <w:pageBreakBefore w:val="0"/>
        <w:widowControl w:val="0"/>
        <w:kinsoku/>
        <w:wordWrap/>
        <w:overflowPunct/>
        <w:topLinePunct w:val="0"/>
        <w:autoSpaceDE/>
        <w:autoSpaceDN/>
        <w:bidi w:val="0"/>
        <w:adjustRightInd/>
        <w:snapToGrid/>
        <w:spacing w:line="574" w:lineRule="exact"/>
        <w:ind w:firstLine="624" w:firstLineChars="200"/>
        <w:textAlignment w:val="auto"/>
        <w:rPr>
          <w:rFonts w:ascii="宋体" w:hAnsi="宋体" w:eastAsia="方正仿宋_GBK" w:cs="Times New Roman"/>
          <w:color w:val="000000"/>
          <w:spacing w:val="0"/>
          <w:kern w:val="0"/>
          <w:sz w:val="32"/>
          <w:szCs w:val="32"/>
          <w:u w:val="none"/>
        </w:rPr>
      </w:pPr>
      <w:r>
        <w:rPr>
          <w:rFonts w:hint="eastAsia" w:ascii="宋体" w:hAnsi="宋体" w:eastAsia="方正仿宋_GBK" w:cs="Times New Roman"/>
          <w:color w:val="000000"/>
          <w:spacing w:val="0"/>
          <w:kern w:val="0"/>
          <w:sz w:val="32"/>
          <w:szCs w:val="32"/>
          <w:shd w:val="clear" w:color="auto" w:fill="auto"/>
          <w:lang w:val="en-US" w:eastAsia="zh-CN" w:bidi="ar-SA"/>
        </w:rPr>
        <w:t>（4）成本指标。</w:t>
      </w:r>
      <w:r>
        <w:rPr>
          <w:rFonts w:hint="eastAsia" w:ascii="宋体" w:hAnsi="宋体" w:eastAsia="方正仿宋_GBK" w:cs="Times New Roman"/>
          <w:color w:val="000000"/>
          <w:spacing w:val="0"/>
          <w:kern w:val="0"/>
          <w:sz w:val="32"/>
          <w:szCs w:val="32"/>
          <w:u w:val="none" w:color="auto"/>
          <w:lang w:val="en-US" w:eastAsia="zh-CN" w:bidi="ar-SA"/>
        </w:rPr>
        <w:t>2024年年度各项成本指标均完成。</w:t>
      </w:r>
      <w:r>
        <w:rPr>
          <w:rFonts w:hint="eastAsia" w:ascii="宋体" w:hAnsi="宋体" w:eastAsia="方正仿宋_GBK" w:cs="Times New Roman"/>
          <w:color w:val="000000"/>
          <w:spacing w:val="0"/>
          <w:kern w:val="0"/>
          <w:sz w:val="32"/>
          <w:szCs w:val="32"/>
          <w:shd w:val="clear" w:color="auto" w:fill="auto"/>
          <w:lang w:val="en-US" w:eastAsia="zh-CN" w:bidi="ar-SA"/>
        </w:rPr>
        <w:t>2024年，职业培训人均补贴标准为1140.78</w:t>
      </w:r>
      <w:r>
        <w:rPr>
          <w:rFonts w:ascii="宋体" w:hAnsi="宋体" w:eastAsia="方正仿宋_GBK" w:cs="Times New Roman"/>
          <w:color w:val="000000"/>
          <w:spacing w:val="0"/>
          <w:kern w:val="0"/>
          <w:sz w:val="32"/>
          <w:szCs w:val="32"/>
          <w:highlight w:val="none"/>
        </w:rPr>
        <w:t>元/人</w:t>
      </w:r>
      <w:r>
        <w:rPr>
          <w:rFonts w:hint="eastAsia" w:ascii="宋体" w:hAnsi="宋体" w:eastAsia="方正仿宋_GBK" w:cs="Times New Roman"/>
          <w:color w:val="000000"/>
          <w:spacing w:val="0"/>
          <w:kern w:val="0"/>
          <w:sz w:val="32"/>
          <w:szCs w:val="32"/>
          <w:shd w:val="clear" w:color="auto" w:fill="auto"/>
          <w:lang w:val="en-US" w:eastAsia="zh-CN" w:bidi="ar-SA"/>
        </w:rPr>
        <w:t>，</w:t>
      </w:r>
      <w:r>
        <w:rPr>
          <w:rFonts w:hint="eastAsia" w:ascii="宋体" w:hAnsi="宋体" w:eastAsia="方正仿宋_GBK" w:cs="Times New Roman"/>
          <w:color w:val="000000"/>
          <w:spacing w:val="0"/>
          <w:kern w:val="0"/>
          <w:sz w:val="32"/>
          <w:szCs w:val="32"/>
          <w:highlight w:val="none"/>
          <w:lang w:eastAsia="zh-CN"/>
        </w:rPr>
        <w:t>单位</w:t>
      </w:r>
      <w:r>
        <w:rPr>
          <w:rFonts w:ascii="宋体" w:hAnsi="宋体" w:eastAsia="方正仿宋_GBK" w:cs="Times New Roman"/>
          <w:color w:val="000000"/>
          <w:spacing w:val="0"/>
          <w:kern w:val="0"/>
          <w:sz w:val="32"/>
          <w:szCs w:val="32"/>
          <w:highlight w:val="none"/>
        </w:rPr>
        <w:t>吸纳人员社保补贴人均标准为</w:t>
      </w:r>
      <w:r>
        <w:rPr>
          <w:rFonts w:hint="eastAsia" w:ascii="宋体" w:hAnsi="宋体" w:eastAsia="方正仿宋_GBK" w:cs="Times New Roman"/>
          <w:color w:val="000000"/>
          <w:spacing w:val="0"/>
          <w:kern w:val="0"/>
          <w:sz w:val="32"/>
          <w:szCs w:val="32"/>
          <w:highlight w:val="none"/>
          <w:lang w:val="en-US" w:eastAsia="zh-CN"/>
        </w:rPr>
        <w:t>7500.25</w:t>
      </w:r>
      <w:r>
        <w:rPr>
          <w:rFonts w:ascii="宋体" w:hAnsi="宋体" w:eastAsia="方正仿宋_GBK" w:cs="Times New Roman"/>
          <w:color w:val="000000"/>
          <w:spacing w:val="0"/>
          <w:kern w:val="0"/>
          <w:sz w:val="32"/>
          <w:szCs w:val="32"/>
          <w:highlight w:val="none"/>
        </w:rPr>
        <w:t>元/人</w:t>
      </w:r>
      <w:r>
        <w:rPr>
          <w:rFonts w:hint="eastAsia" w:ascii="宋体" w:hAnsi="宋体" w:eastAsia="方正仿宋_GBK" w:cs="Times New Roman"/>
          <w:color w:val="000000"/>
          <w:spacing w:val="0"/>
          <w:kern w:val="0"/>
          <w:sz w:val="32"/>
          <w:szCs w:val="32"/>
          <w:highlight w:val="none"/>
          <w:lang w:val="en-US" w:eastAsia="zh-CN"/>
        </w:rPr>
        <w:t>·</w:t>
      </w:r>
      <w:r>
        <w:rPr>
          <w:rFonts w:ascii="宋体" w:hAnsi="宋体" w:eastAsia="方正仿宋_GBK" w:cs="Times New Roman"/>
          <w:color w:val="000000"/>
          <w:spacing w:val="0"/>
          <w:kern w:val="0"/>
          <w:sz w:val="32"/>
          <w:szCs w:val="32"/>
          <w:highlight w:val="none"/>
        </w:rPr>
        <w:t>年，灵活就业人员社保补贴人均标准为</w:t>
      </w:r>
      <w:r>
        <w:rPr>
          <w:rFonts w:hint="eastAsia" w:ascii="宋体" w:hAnsi="宋体" w:eastAsia="方正仿宋_GBK" w:cs="Times New Roman"/>
          <w:color w:val="000000"/>
          <w:spacing w:val="0"/>
          <w:kern w:val="0"/>
          <w:sz w:val="32"/>
          <w:szCs w:val="32"/>
          <w:highlight w:val="none"/>
          <w:lang w:val="en-US" w:eastAsia="zh-CN"/>
        </w:rPr>
        <w:t>6251</w:t>
      </w:r>
      <w:r>
        <w:rPr>
          <w:rFonts w:ascii="宋体" w:hAnsi="宋体" w:eastAsia="方正仿宋_GBK" w:cs="Times New Roman"/>
          <w:color w:val="000000"/>
          <w:spacing w:val="0"/>
          <w:kern w:val="0"/>
          <w:sz w:val="32"/>
          <w:szCs w:val="32"/>
          <w:highlight w:val="none"/>
        </w:rPr>
        <w:t>元/人</w:t>
      </w:r>
      <w:r>
        <w:rPr>
          <w:rFonts w:hint="eastAsia" w:ascii="宋体" w:hAnsi="宋体" w:eastAsia="方正仿宋_GBK" w:cs="Times New Roman"/>
          <w:color w:val="000000"/>
          <w:spacing w:val="0"/>
          <w:kern w:val="0"/>
          <w:sz w:val="32"/>
          <w:szCs w:val="32"/>
          <w:highlight w:val="none"/>
          <w:lang w:val="en-US" w:eastAsia="zh-CN"/>
        </w:rPr>
        <w:t>·</w:t>
      </w:r>
      <w:r>
        <w:rPr>
          <w:rFonts w:hint="eastAsia" w:ascii="宋体" w:hAnsi="宋体" w:eastAsia="方正仿宋_GBK" w:cs="Times New Roman"/>
          <w:color w:val="000000"/>
          <w:spacing w:val="0"/>
          <w:kern w:val="0"/>
          <w:sz w:val="32"/>
          <w:szCs w:val="32"/>
          <w:highlight w:val="none"/>
        </w:rPr>
        <w:t>年</w:t>
      </w:r>
      <w:r>
        <w:rPr>
          <w:rFonts w:ascii="宋体" w:hAnsi="宋体" w:eastAsia="方正仿宋_GBK" w:cs="Times New Roman"/>
          <w:color w:val="000000"/>
          <w:spacing w:val="0"/>
          <w:kern w:val="0"/>
          <w:sz w:val="32"/>
          <w:szCs w:val="32"/>
          <w:highlight w:val="none"/>
        </w:rPr>
        <w:t>，</w:t>
      </w:r>
      <w:r>
        <w:rPr>
          <w:rFonts w:hint="eastAsia" w:ascii="宋体" w:hAnsi="宋体" w:eastAsia="方正仿宋_GBK" w:cs="Times New Roman"/>
          <w:color w:val="000000"/>
          <w:spacing w:val="0"/>
          <w:kern w:val="0"/>
          <w:sz w:val="32"/>
          <w:szCs w:val="32"/>
          <w:shd w:val="clear" w:color="auto" w:fill="auto"/>
          <w:lang w:val="en-US" w:eastAsia="zh-CN" w:bidi="ar-SA"/>
        </w:rPr>
        <w:t>全省社会保险补贴人均标准均未超过单位应缴纳的三项社会保险费或灵活就业人员社会保险费实际缴费额的2/3，公益性岗位补贴人均标准为11293.19</w:t>
      </w:r>
      <w:r>
        <w:rPr>
          <w:rFonts w:ascii="宋体" w:hAnsi="宋体" w:eastAsia="方正仿宋_GBK" w:cs="Times New Roman"/>
          <w:color w:val="000000"/>
          <w:spacing w:val="0"/>
          <w:kern w:val="0"/>
          <w:sz w:val="32"/>
          <w:szCs w:val="32"/>
          <w:u w:val="none"/>
        </w:rPr>
        <w:t>元/人</w:t>
      </w:r>
      <w:r>
        <w:rPr>
          <w:rFonts w:hint="eastAsia" w:ascii="宋体" w:hAnsi="宋体" w:eastAsia="方正仿宋_GBK" w:cs="Times New Roman"/>
          <w:color w:val="000000"/>
          <w:spacing w:val="0"/>
          <w:kern w:val="0"/>
          <w:sz w:val="32"/>
          <w:szCs w:val="32"/>
          <w:highlight w:val="none"/>
          <w:lang w:val="en-US" w:eastAsia="zh-CN"/>
        </w:rPr>
        <w:t>·</w:t>
      </w:r>
      <w:r>
        <w:rPr>
          <w:rFonts w:ascii="宋体" w:hAnsi="宋体" w:eastAsia="方正仿宋_GBK" w:cs="Times New Roman"/>
          <w:color w:val="000000"/>
          <w:spacing w:val="0"/>
          <w:kern w:val="0"/>
          <w:sz w:val="32"/>
          <w:szCs w:val="32"/>
          <w:u w:val="none"/>
        </w:rPr>
        <w:t>年</w:t>
      </w:r>
      <w:r>
        <w:rPr>
          <w:rFonts w:hint="eastAsia" w:ascii="宋体" w:hAnsi="宋体" w:eastAsia="方正仿宋_GBK" w:cs="Times New Roman"/>
          <w:color w:val="000000"/>
          <w:spacing w:val="0"/>
          <w:kern w:val="0"/>
          <w:sz w:val="32"/>
          <w:szCs w:val="32"/>
          <w:u w:val="none"/>
          <w:lang w:eastAsia="zh-CN"/>
        </w:rPr>
        <w:t>，按不超过</w:t>
      </w:r>
      <w:r>
        <w:rPr>
          <w:rFonts w:hint="eastAsia" w:ascii="宋体" w:hAnsi="宋体" w:eastAsia="方正仿宋_GBK" w:cs="Times New Roman"/>
          <w:color w:val="000000"/>
          <w:spacing w:val="0"/>
          <w:kern w:val="0"/>
          <w:sz w:val="32"/>
          <w:szCs w:val="32"/>
          <w:shd w:val="clear" w:color="auto" w:fill="auto"/>
          <w:lang w:val="en-US" w:eastAsia="zh-CN" w:bidi="ar-SA"/>
        </w:rPr>
        <w:t>最低工资标准执行。</w:t>
      </w:r>
    </w:p>
    <w:p w14:paraId="1F65DA59">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lang w:val="en-US" w:eastAsia="zh-CN" w:bidi="ar-SA"/>
        </w:rPr>
      </w:pPr>
      <w:r>
        <w:rPr>
          <w:rFonts w:ascii="宋体" w:hAnsi="宋体" w:eastAsia="方正仿宋_GBK" w:cs="Times New Roman"/>
          <w:color w:val="000000"/>
          <w:spacing w:val="0"/>
          <w:kern w:val="0"/>
          <w:sz w:val="32"/>
          <w:szCs w:val="32"/>
          <w:lang w:val="en-US" w:eastAsia="zh-CN" w:bidi="ar-SA"/>
        </w:rPr>
        <w:t>2.效益指标完成情况</w:t>
      </w:r>
    </w:p>
    <w:p w14:paraId="2E640CF2">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highlight w:val="yellow"/>
          <w:lang w:val="en-US" w:eastAsia="zh-CN" w:bidi="ar-SA"/>
        </w:rPr>
      </w:pPr>
      <w:r>
        <w:rPr>
          <w:rFonts w:ascii="宋体" w:hAnsi="宋体" w:eastAsia="方正仿宋_GBK" w:cs="Times New Roman"/>
          <w:color w:val="000000"/>
          <w:spacing w:val="0"/>
          <w:kern w:val="0"/>
          <w:sz w:val="32"/>
          <w:szCs w:val="32"/>
          <w:lang w:val="en-US" w:eastAsia="zh-CN" w:bidi="ar-SA"/>
        </w:rPr>
        <w:t>（1）经济效益指标</w:t>
      </w:r>
      <w:r>
        <w:rPr>
          <w:rFonts w:hint="eastAsia" w:ascii="宋体" w:hAnsi="宋体" w:eastAsia="方正仿宋_GBK" w:cs="Times New Roman"/>
          <w:color w:val="000000"/>
          <w:spacing w:val="0"/>
          <w:kern w:val="0"/>
          <w:sz w:val="32"/>
          <w:szCs w:val="32"/>
          <w:lang w:val="en-US" w:eastAsia="zh-CN" w:bidi="ar-SA"/>
        </w:rPr>
        <w:t>。</w:t>
      </w:r>
      <w:r>
        <w:rPr>
          <w:rFonts w:hint="eastAsia" w:ascii="宋体" w:hAnsi="宋体" w:eastAsia="方正仿宋_GBK" w:cs="Times New Roman"/>
          <w:color w:val="000000"/>
          <w:spacing w:val="0"/>
          <w:kern w:val="0"/>
          <w:sz w:val="32"/>
          <w:szCs w:val="32"/>
          <w:u w:val="none" w:color="auto"/>
          <w:lang w:val="en-US" w:eastAsia="zh-CN" w:bidi="ar-SA"/>
        </w:rPr>
        <w:t>2024年年度各项经济效益指标均完成。</w:t>
      </w:r>
      <w:r>
        <w:rPr>
          <w:rFonts w:ascii="宋体" w:hAnsi="宋体" w:eastAsia="方正仿宋_GBK" w:cs="Times New Roman"/>
          <w:color w:val="000000"/>
          <w:spacing w:val="0"/>
          <w:kern w:val="0"/>
          <w:sz w:val="32"/>
          <w:szCs w:val="32"/>
          <w:highlight w:val="none"/>
          <w:lang w:val="en-US" w:eastAsia="zh-CN" w:bidi="ar-SA"/>
        </w:rPr>
        <w:t>全省城镇新增就业</w:t>
      </w:r>
      <w:r>
        <w:rPr>
          <w:rFonts w:hint="eastAsia" w:ascii="宋体" w:hAnsi="宋体" w:eastAsia="方正仿宋_GBK" w:cs="Times New Roman"/>
          <w:color w:val="000000"/>
          <w:spacing w:val="0"/>
          <w:kern w:val="0"/>
          <w:sz w:val="32"/>
          <w:szCs w:val="32"/>
          <w:highlight w:val="none"/>
          <w:lang w:val="en-US" w:eastAsia="zh-CN" w:bidi="ar-SA"/>
        </w:rPr>
        <w:t>51.03</w:t>
      </w:r>
      <w:r>
        <w:rPr>
          <w:rFonts w:ascii="宋体" w:hAnsi="宋体" w:eastAsia="方正仿宋_GBK" w:cs="Times New Roman"/>
          <w:color w:val="000000"/>
          <w:spacing w:val="0"/>
          <w:kern w:val="0"/>
          <w:sz w:val="32"/>
          <w:szCs w:val="32"/>
          <w:highlight w:val="none"/>
          <w:lang w:val="en-US" w:eastAsia="zh-CN" w:bidi="ar-SA"/>
        </w:rPr>
        <w:t>万人</w:t>
      </w:r>
      <w:r>
        <w:rPr>
          <w:rFonts w:hint="eastAsia" w:ascii="宋体" w:hAnsi="宋体" w:eastAsia="方正仿宋_GBK" w:cs="Times New Roman"/>
          <w:color w:val="000000"/>
          <w:spacing w:val="0"/>
          <w:kern w:val="0"/>
          <w:sz w:val="32"/>
          <w:szCs w:val="32"/>
          <w:highlight w:val="none"/>
          <w:lang w:val="en-US" w:eastAsia="zh-CN" w:bidi="ar-SA"/>
        </w:rPr>
        <w:t>；</w:t>
      </w:r>
      <w:r>
        <w:rPr>
          <w:rFonts w:hint="eastAsia" w:ascii="宋体" w:hAnsi="宋体" w:eastAsia="方正仿宋_GBK" w:cs="Times New Roman"/>
          <w:color w:val="000000"/>
          <w:spacing w:val="0"/>
          <w:kern w:val="0"/>
          <w:sz w:val="32"/>
          <w:szCs w:val="32"/>
          <w:shd w:val="clear" w:color="auto" w:fill="auto"/>
          <w:lang w:val="en-US" w:eastAsia="zh-CN" w:bidi="ar-SA"/>
        </w:rPr>
        <w:t>年末城镇调查失业率为</w:t>
      </w:r>
      <w:r>
        <w:rPr>
          <w:rFonts w:hint="eastAsia" w:ascii="宋体" w:hAnsi="宋体" w:eastAsia="方正仿宋_GBK" w:cs="Times New Roman"/>
          <w:color w:val="000000"/>
          <w:spacing w:val="0"/>
          <w:kern w:val="0"/>
          <w:sz w:val="32"/>
          <w:szCs w:val="32"/>
          <w:highlight w:val="none"/>
          <w:lang w:val="en-US" w:eastAsia="zh-CN" w:bidi="ar-SA"/>
        </w:rPr>
        <w:t>5.0%，控制在目标范围内；</w:t>
      </w:r>
      <w:r>
        <w:rPr>
          <w:rFonts w:ascii="宋体" w:hAnsi="宋体" w:eastAsia="方正仿宋_GBK" w:cs="Times New Roman"/>
          <w:color w:val="000000"/>
          <w:spacing w:val="0"/>
          <w:kern w:val="0"/>
          <w:sz w:val="32"/>
          <w:szCs w:val="32"/>
          <w:highlight w:val="none"/>
          <w:lang w:val="en-US" w:eastAsia="zh-CN" w:bidi="ar-SA"/>
        </w:rPr>
        <w:t>失业人员实现再就业</w:t>
      </w:r>
      <w:r>
        <w:rPr>
          <w:rFonts w:hint="eastAsia" w:ascii="宋体" w:hAnsi="宋体" w:eastAsia="方正仿宋_GBK" w:cs="Times New Roman"/>
          <w:color w:val="000000"/>
          <w:spacing w:val="0"/>
          <w:kern w:val="0"/>
          <w:sz w:val="32"/>
          <w:szCs w:val="32"/>
          <w:highlight w:val="none"/>
          <w:lang w:val="en-US" w:eastAsia="zh-CN" w:bidi="ar-SA"/>
        </w:rPr>
        <w:t>16.77</w:t>
      </w:r>
      <w:r>
        <w:rPr>
          <w:rFonts w:ascii="宋体" w:hAnsi="宋体" w:eastAsia="方正仿宋_GBK" w:cs="Times New Roman"/>
          <w:color w:val="000000"/>
          <w:spacing w:val="0"/>
          <w:kern w:val="0"/>
          <w:sz w:val="32"/>
          <w:szCs w:val="32"/>
          <w:highlight w:val="none"/>
          <w:lang w:val="en-US" w:eastAsia="zh-CN" w:bidi="ar-SA"/>
        </w:rPr>
        <w:t>万人</w:t>
      </w:r>
      <w:r>
        <w:rPr>
          <w:rFonts w:hint="eastAsia" w:ascii="宋体" w:hAnsi="宋体" w:eastAsia="方正仿宋_GBK" w:cs="Times New Roman"/>
          <w:color w:val="000000"/>
          <w:spacing w:val="0"/>
          <w:kern w:val="0"/>
          <w:sz w:val="32"/>
          <w:szCs w:val="32"/>
          <w:highlight w:val="none"/>
          <w:lang w:val="en-US" w:eastAsia="zh-CN" w:bidi="ar-SA"/>
        </w:rPr>
        <w:t>；</w:t>
      </w:r>
      <w:r>
        <w:rPr>
          <w:rFonts w:ascii="宋体" w:hAnsi="宋体" w:eastAsia="方正仿宋_GBK" w:cs="Times New Roman"/>
          <w:color w:val="000000"/>
          <w:spacing w:val="0"/>
          <w:kern w:val="0"/>
          <w:sz w:val="32"/>
          <w:szCs w:val="32"/>
          <w:highlight w:val="none"/>
          <w:lang w:val="en-US" w:eastAsia="zh-CN" w:bidi="ar-SA"/>
        </w:rPr>
        <w:t>就业困难人员实现就业</w:t>
      </w:r>
      <w:r>
        <w:rPr>
          <w:rFonts w:hint="eastAsia" w:ascii="宋体" w:hAnsi="宋体" w:eastAsia="方正仿宋_GBK" w:cs="Times New Roman"/>
          <w:color w:val="000000"/>
          <w:spacing w:val="0"/>
          <w:kern w:val="0"/>
          <w:sz w:val="32"/>
          <w:szCs w:val="32"/>
          <w:highlight w:val="none"/>
          <w:lang w:val="en-US" w:eastAsia="zh-CN" w:bidi="ar-SA"/>
        </w:rPr>
        <w:t>13.65</w:t>
      </w:r>
      <w:r>
        <w:rPr>
          <w:rFonts w:ascii="宋体" w:hAnsi="宋体" w:eastAsia="方正仿宋_GBK" w:cs="Times New Roman"/>
          <w:color w:val="000000"/>
          <w:spacing w:val="0"/>
          <w:kern w:val="0"/>
          <w:sz w:val="32"/>
          <w:szCs w:val="32"/>
          <w:highlight w:val="none"/>
          <w:lang w:val="en-US" w:eastAsia="zh-CN" w:bidi="ar-SA"/>
        </w:rPr>
        <w:t>万人。</w:t>
      </w:r>
    </w:p>
    <w:p w14:paraId="6EF7335F">
      <w:pPr>
        <w:keepNext w:val="0"/>
        <w:keepLines w:val="0"/>
        <w:pageBreakBefore w:val="0"/>
        <w:widowControl w:val="0"/>
        <w:kinsoku/>
        <w:wordWrap/>
        <w:overflowPunct/>
        <w:topLinePunct w:val="0"/>
        <w:autoSpaceDE/>
        <w:autoSpaceDN/>
        <w:bidi w:val="0"/>
        <w:spacing w:line="574" w:lineRule="exact"/>
        <w:ind w:firstLine="624" w:firstLineChars="200"/>
        <w:jc w:val="both"/>
        <w:rPr>
          <w:rFonts w:ascii="宋体" w:hAnsi="宋体" w:eastAsia="方正仿宋_GBK" w:cs="Times New Roman"/>
          <w:color w:val="000000"/>
          <w:spacing w:val="0"/>
          <w:kern w:val="0"/>
          <w:sz w:val="32"/>
          <w:szCs w:val="32"/>
          <w:highlight w:val="none"/>
          <w:lang w:val="en-US" w:eastAsia="zh-CN" w:bidi="ar-SA"/>
        </w:rPr>
      </w:pPr>
      <w:r>
        <w:rPr>
          <w:rFonts w:hint="eastAsia" w:ascii="宋体" w:hAnsi="宋体" w:eastAsia="方正仿宋_GBK" w:cs="Times New Roman"/>
          <w:color w:val="000000"/>
          <w:spacing w:val="0"/>
          <w:kern w:val="0"/>
          <w:sz w:val="32"/>
          <w:szCs w:val="32"/>
          <w:lang w:val="en-US" w:eastAsia="zh-CN" w:bidi="ar-SA"/>
        </w:rPr>
        <w:t>（2）</w:t>
      </w:r>
      <w:r>
        <w:rPr>
          <w:rFonts w:ascii="宋体" w:hAnsi="宋体" w:eastAsia="方正仿宋_GBK" w:cs="Times New Roman"/>
          <w:color w:val="000000"/>
          <w:spacing w:val="0"/>
          <w:kern w:val="0"/>
          <w:sz w:val="32"/>
          <w:szCs w:val="32"/>
          <w:lang w:val="en-US" w:eastAsia="zh-CN" w:bidi="ar-SA"/>
        </w:rPr>
        <w:t>社会效益指标</w:t>
      </w:r>
      <w:r>
        <w:rPr>
          <w:rFonts w:hint="eastAsia" w:ascii="宋体" w:hAnsi="宋体" w:eastAsia="方正仿宋_GBK" w:cs="Times New Roman"/>
          <w:color w:val="000000"/>
          <w:spacing w:val="0"/>
          <w:kern w:val="0"/>
          <w:sz w:val="32"/>
          <w:szCs w:val="32"/>
          <w:lang w:val="en-US" w:eastAsia="zh-CN" w:bidi="ar-SA"/>
        </w:rPr>
        <w:t>。</w:t>
      </w:r>
      <w:r>
        <w:rPr>
          <w:rFonts w:hint="eastAsia" w:ascii="宋体" w:hAnsi="宋体" w:eastAsia="方正仿宋_GBK" w:cs="Times New Roman"/>
          <w:color w:val="000000"/>
          <w:spacing w:val="0"/>
          <w:kern w:val="0"/>
          <w:sz w:val="32"/>
          <w:szCs w:val="32"/>
          <w:u w:val="none" w:color="auto"/>
          <w:lang w:val="en-US" w:eastAsia="zh-CN" w:bidi="ar-SA"/>
        </w:rPr>
        <w:t>2024年年度各项社会效益指标均完成。</w:t>
      </w:r>
      <w:r>
        <w:rPr>
          <w:rFonts w:ascii="宋体" w:hAnsi="宋体" w:eastAsia="方正仿宋_GBK" w:cs="Times New Roman"/>
          <w:color w:val="000000"/>
          <w:spacing w:val="0"/>
          <w:kern w:val="0"/>
          <w:sz w:val="32"/>
          <w:szCs w:val="32"/>
          <w:highlight w:val="none"/>
          <w:lang w:val="en-US" w:eastAsia="zh-CN" w:bidi="ar-SA"/>
        </w:rPr>
        <w:t>零就业家庭帮扶率为</w:t>
      </w:r>
      <w:r>
        <w:rPr>
          <w:rFonts w:hint="eastAsia" w:ascii="宋体" w:hAnsi="宋体" w:eastAsia="方正仿宋_GBK" w:cs="Times New Roman"/>
          <w:color w:val="000000"/>
          <w:spacing w:val="0"/>
          <w:kern w:val="0"/>
          <w:sz w:val="32"/>
          <w:szCs w:val="32"/>
          <w:highlight w:val="none"/>
          <w:lang w:val="en-US" w:eastAsia="zh-CN" w:bidi="ar-SA"/>
        </w:rPr>
        <w:t>99.5%</w:t>
      </w:r>
      <w:r>
        <w:rPr>
          <w:rFonts w:ascii="宋体" w:hAnsi="宋体" w:eastAsia="方正仿宋_GBK" w:cs="Times New Roman"/>
          <w:color w:val="000000"/>
          <w:spacing w:val="0"/>
          <w:kern w:val="0"/>
          <w:sz w:val="32"/>
          <w:szCs w:val="32"/>
          <w:highlight w:val="none"/>
          <w:lang w:val="en-US" w:eastAsia="zh-CN" w:bidi="ar-SA"/>
        </w:rPr>
        <w:t>，未发生因就业问题引发的重大群体性事件。</w:t>
      </w:r>
    </w:p>
    <w:p w14:paraId="238FEF6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74" w:lineRule="exact"/>
        <w:ind w:left="0" w:right="0" w:firstLine="624" w:firstLineChars="200"/>
        <w:jc w:val="both"/>
        <w:textAlignment w:val="auto"/>
        <w:rPr>
          <w:rFonts w:hint="eastAsia" w:ascii="宋体" w:hAnsi="宋体" w:eastAsia="方正仿宋_GBK" w:cs="Times New Roman"/>
          <w:color w:val="000000"/>
          <w:spacing w:val="0"/>
          <w:kern w:val="0"/>
          <w:sz w:val="32"/>
          <w:szCs w:val="32"/>
          <w:shd w:val="clear" w:color="auto" w:fill="auto"/>
          <w:lang w:val="en-US" w:eastAsia="zh-CN" w:bidi="ar-SA"/>
        </w:rPr>
      </w:pPr>
      <w:r>
        <w:rPr>
          <w:rFonts w:ascii="宋体" w:hAnsi="宋体" w:eastAsia="方正仿宋_GBK" w:cs="Times New Roman"/>
          <w:color w:val="000000"/>
          <w:spacing w:val="0"/>
          <w:kern w:val="0"/>
          <w:sz w:val="32"/>
          <w:szCs w:val="32"/>
          <w:lang w:val="en-US" w:eastAsia="zh-CN" w:bidi="ar"/>
        </w:rPr>
        <w:t>3.满意度指标完成情况</w:t>
      </w:r>
      <w:r>
        <w:rPr>
          <w:rFonts w:hint="eastAsia" w:ascii="宋体" w:hAnsi="宋体" w:eastAsia="方正仿宋_GBK" w:cs="Times New Roman"/>
          <w:color w:val="000000"/>
          <w:spacing w:val="0"/>
          <w:kern w:val="0"/>
          <w:sz w:val="32"/>
          <w:szCs w:val="32"/>
          <w:lang w:val="en-US" w:eastAsia="zh-CN" w:bidi="ar"/>
        </w:rPr>
        <w:t>。</w:t>
      </w:r>
      <w:r>
        <w:rPr>
          <w:rFonts w:ascii="宋体" w:hAnsi="宋体" w:eastAsia="方正仿宋_GBK" w:cs="Times New Roman"/>
          <w:color w:val="000000"/>
          <w:spacing w:val="0"/>
          <w:kern w:val="0"/>
          <w:sz w:val="32"/>
          <w:szCs w:val="32"/>
          <w:highlight w:val="none"/>
          <w:lang w:val="en-US" w:eastAsia="zh-CN" w:bidi="ar"/>
        </w:rPr>
        <w:t>就业政策满意度</w:t>
      </w:r>
      <w:r>
        <w:rPr>
          <w:rFonts w:hint="eastAsia" w:ascii="宋体" w:hAnsi="宋体" w:eastAsia="方正仿宋_GBK" w:cs="Times New Roman"/>
          <w:color w:val="000000"/>
          <w:spacing w:val="0"/>
          <w:kern w:val="0"/>
          <w:sz w:val="32"/>
          <w:szCs w:val="32"/>
          <w:highlight w:val="none"/>
          <w:lang w:val="en-US" w:eastAsia="zh-CN" w:bidi="ar"/>
        </w:rPr>
        <w:t>92.85%，</w:t>
      </w:r>
      <w:r>
        <w:rPr>
          <w:rFonts w:ascii="宋体" w:hAnsi="宋体" w:eastAsia="方正仿宋_GBK" w:cs="Times New Roman"/>
          <w:color w:val="000000"/>
          <w:spacing w:val="0"/>
          <w:kern w:val="0"/>
          <w:sz w:val="32"/>
          <w:szCs w:val="32"/>
          <w:highlight w:val="none"/>
          <w:lang w:val="en-US" w:eastAsia="zh-CN" w:bidi="ar"/>
        </w:rPr>
        <w:t>达到年初设定目标。</w:t>
      </w:r>
    </w:p>
    <w:p w14:paraId="5C79396B">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黑体_GBK" w:cs="方正黑体_GBK"/>
          <w:bCs/>
          <w:color w:val="000000"/>
          <w:spacing w:val="0"/>
          <w:kern w:val="0"/>
          <w:sz w:val="32"/>
          <w:szCs w:val="32"/>
        </w:rPr>
      </w:pPr>
      <w:r>
        <w:rPr>
          <w:rFonts w:hint="eastAsia" w:ascii="宋体" w:hAnsi="宋体" w:eastAsia="方正黑体_GBK" w:cs="方正黑体_GBK"/>
          <w:bCs/>
          <w:color w:val="000000"/>
          <w:spacing w:val="0"/>
          <w:kern w:val="0"/>
          <w:sz w:val="32"/>
          <w:szCs w:val="32"/>
        </w:rPr>
        <w:t>三、偏离绩效目标的原因和下一步改进措施</w:t>
      </w:r>
    </w:p>
    <w:p w14:paraId="2AA87477">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default" w:ascii="宋体" w:hAnsi="宋体" w:eastAsia="方正仿宋_GBK" w:cs="Times New Roman"/>
          <w:color w:val="000000"/>
          <w:spacing w:val="0"/>
          <w:kern w:val="0"/>
          <w:sz w:val="32"/>
          <w:szCs w:val="32"/>
          <w:lang w:val="en" w:eastAsia="zh-CN" w:bidi="ar"/>
        </w:rPr>
      </w:pPr>
      <w:r>
        <w:rPr>
          <w:rFonts w:hint="eastAsia" w:ascii="宋体" w:hAnsi="宋体" w:eastAsia="方正仿宋_GBK" w:cs="Times New Roman"/>
          <w:color w:val="000000"/>
          <w:spacing w:val="0"/>
          <w:kern w:val="0"/>
          <w:sz w:val="32"/>
          <w:szCs w:val="32"/>
          <w:lang w:val="en-US" w:eastAsia="zh-CN" w:bidi="ar"/>
        </w:rPr>
        <w:t>经对照绩效指标逐条开展自评，各项绩效目标完成，未发现绩效目标偏离的问题。</w:t>
      </w:r>
    </w:p>
    <w:p w14:paraId="0A4F27AE">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黑体_GBK" w:cs="方正黑体_GBK"/>
          <w:bCs/>
          <w:color w:val="000000"/>
          <w:spacing w:val="0"/>
          <w:kern w:val="0"/>
          <w:sz w:val="32"/>
          <w:szCs w:val="32"/>
        </w:rPr>
      </w:pPr>
      <w:r>
        <w:rPr>
          <w:rFonts w:hint="eastAsia" w:ascii="宋体" w:hAnsi="宋体" w:eastAsia="方正黑体_GBK" w:cs="方正黑体_GBK"/>
          <w:bCs/>
          <w:color w:val="000000"/>
          <w:spacing w:val="0"/>
          <w:kern w:val="0"/>
          <w:sz w:val="32"/>
          <w:szCs w:val="32"/>
        </w:rPr>
        <w:t>四、绩效自评结果拟应用和公开情况</w:t>
      </w:r>
    </w:p>
    <w:p w14:paraId="3E3B13EA">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仿宋_GBK" w:cs="Times New Roman"/>
          <w:color w:val="000000"/>
          <w:spacing w:val="0"/>
          <w:kern w:val="0"/>
          <w:sz w:val="32"/>
          <w:szCs w:val="32"/>
          <w:highlight w:val="none"/>
          <w:lang w:val="en-US" w:eastAsia="zh-CN" w:bidi="ar"/>
        </w:rPr>
      </w:pPr>
      <w:r>
        <w:rPr>
          <w:rFonts w:hint="eastAsia" w:ascii="宋体" w:hAnsi="宋体" w:eastAsia="方正仿宋_GBK" w:cs="Times New Roman"/>
          <w:color w:val="000000"/>
          <w:spacing w:val="0"/>
          <w:kern w:val="0"/>
          <w:sz w:val="32"/>
          <w:szCs w:val="32"/>
          <w:highlight w:val="none"/>
          <w:lang w:val="en-US" w:eastAsia="zh-CN" w:bidi="ar"/>
        </w:rPr>
        <w:t>拟将绩效自评结果作为完善政策、预算安排、资金分配、改进管理的重要依据，对就业工作成效明显，资金使用效益高的地区在就业补助资金安排上予以适当倾斜。对资金使用效益低的地区，督促指导完善相关制度，严格资金申报、审批、拨付等程序，加大政策落实力度，切实提高资金使用效益。此次就业补助资金支出绩效自评报告将通过部门网站予以公布，向社会公开，广泛接受社会监督。</w:t>
      </w:r>
    </w:p>
    <w:p w14:paraId="11440037">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黑体_GBK" w:cs="方正黑体_GBK"/>
          <w:bCs/>
          <w:color w:val="000000"/>
          <w:spacing w:val="0"/>
          <w:kern w:val="0"/>
          <w:sz w:val="32"/>
          <w:szCs w:val="32"/>
        </w:rPr>
      </w:pPr>
      <w:r>
        <w:rPr>
          <w:rFonts w:hint="eastAsia" w:ascii="宋体" w:hAnsi="宋体" w:eastAsia="方正黑体_GBK" w:cs="方正黑体_GBK"/>
          <w:bCs/>
          <w:color w:val="000000"/>
          <w:spacing w:val="0"/>
          <w:kern w:val="0"/>
          <w:sz w:val="32"/>
          <w:szCs w:val="32"/>
        </w:rPr>
        <w:t>五、其他需要说明的问题</w:t>
      </w:r>
    </w:p>
    <w:p w14:paraId="068A6E0B">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default" w:ascii="宋体" w:hAnsi="宋体" w:eastAsia="方正仿宋_GBK" w:cs="Times New Roman"/>
          <w:color w:val="000000"/>
          <w:spacing w:val="0"/>
          <w:kern w:val="0"/>
          <w:sz w:val="32"/>
          <w:szCs w:val="32"/>
          <w:highlight w:val="none"/>
          <w:lang w:val="en" w:eastAsia="zh-CN" w:bidi="ar"/>
        </w:rPr>
      </w:pPr>
      <w:r>
        <w:rPr>
          <w:rFonts w:hint="eastAsia" w:ascii="宋体" w:hAnsi="宋体" w:eastAsia="方正仿宋_GBK" w:cs="Times New Roman"/>
          <w:color w:val="000000"/>
          <w:spacing w:val="0"/>
          <w:kern w:val="0"/>
          <w:sz w:val="32"/>
          <w:szCs w:val="32"/>
          <w:highlight w:val="none"/>
          <w:lang w:val="en-US" w:eastAsia="zh-CN" w:bidi="ar"/>
        </w:rPr>
        <w:t>无其他需要说明的问题。</w:t>
      </w:r>
    </w:p>
    <w:p w14:paraId="37E634A7">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仿宋_GBK" w:cs="Times New Roman"/>
          <w:bCs/>
          <w:color w:val="000000"/>
          <w:spacing w:val="0"/>
          <w:kern w:val="0"/>
          <w:sz w:val="32"/>
          <w:szCs w:val="32"/>
          <w:lang w:eastAsia="zh-CN"/>
        </w:rPr>
      </w:pPr>
    </w:p>
    <w:p w14:paraId="168767CA">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方正仿宋_GBK" w:cs="Times New Roman"/>
          <w:bCs/>
          <w:color w:val="000000"/>
          <w:spacing w:val="0"/>
          <w:kern w:val="0"/>
          <w:sz w:val="32"/>
          <w:szCs w:val="32"/>
          <w:lang w:eastAsia="zh-CN"/>
        </w:rPr>
      </w:pPr>
      <w:r>
        <w:rPr>
          <w:rFonts w:hint="eastAsia" w:ascii="宋体" w:hAnsi="宋体" w:eastAsia="方正仿宋_GBK" w:cs="Times New Roman"/>
          <w:bCs/>
          <w:color w:val="000000"/>
          <w:spacing w:val="0"/>
          <w:kern w:val="0"/>
          <w:sz w:val="32"/>
          <w:szCs w:val="32"/>
          <w:lang w:eastAsia="zh-CN"/>
        </w:rPr>
        <w:t>（</w:t>
      </w:r>
      <w:r>
        <w:rPr>
          <w:rFonts w:hint="eastAsia" w:ascii="宋体" w:hAnsi="宋体" w:eastAsia="方正仿宋_GBK" w:cs="Times New Roman"/>
          <w:bCs/>
          <w:color w:val="000000"/>
          <w:spacing w:val="0"/>
          <w:kern w:val="0"/>
          <w:sz w:val="32"/>
          <w:szCs w:val="32"/>
          <w:lang w:val="en-US" w:eastAsia="zh-CN"/>
        </w:rPr>
        <w:t>部分内容删减</w:t>
      </w:r>
      <w:r>
        <w:rPr>
          <w:rFonts w:hint="eastAsia" w:ascii="宋体" w:hAnsi="宋体" w:eastAsia="方正仿宋_GBK" w:cs="Times New Roman"/>
          <w:bCs/>
          <w:color w:val="000000"/>
          <w:spacing w:val="0"/>
          <w:kern w:val="0"/>
          <w:sz w:val="32"/>
          <w:szCs w:val="32"/>
          <w:lang w:eastAsia="zh-CN"/>
        </w:rPr>
        <w:t>）</w:t>
      </w:r>
    </w:p>
    <w:p w14:paraId="3C1B6833">
      <w:pPr>
        <w:pStyle w:val="2"/>
        <w:rPr>
          <w:rFonts w:hint="eastAsia"/>
        </w:rPr>
      </w:pPr>
    </w:p>
    <w:p w14:paraId="17A5DB21">
      <w:pPr>
        <w:keepNext w:val="0"/>
        <w:keepLines w:val="0"/>
        <w:pageBreakBefore w:val="0"/>
        <w:widowControl w:val="0"/>
        <w:kinsoku/>
        <w:wordWrap/>
        <w:overflowPunct/>
        <w:topLinePunct w:val="0"/>
        <w:autoSpaceDE/>
        <w:autoSpaceDN/>
        <w:bidi w:val="0"/>
        <w:adjustRightInd/>
        <w:snapToGrid w:val="0"/>
        <w:spacing w:line="574" w:lineRule="exact"/>
        <w:ind w:firstLine="624" w:firstLineChars="200"/>
        <w:textAlignment w:val="auto"/>
        <w:rPr>
          <w:rFonts w:hint="eastAsia" w:ascii="宋体" w:hAnsi="宋体" w:eastAsia="黑体" w:cs="黑体"/>
          <w:kern w:val="2"/>
          <w:sz w:val="28"/>
          <w:szCs w:val="28"/>
          <w:lang w:val="en" w:eastAsia="zh-CN" w:bidi="ar-SA"/>
        </w:rPr>
      </w:pPr>
      <w:r>
        <w:rPr>
          <w:rFonts w:hint="eastAsia" w:ascii="宋体" w:hAnsi="宋体" w:eastAsia="方正仿宋_GBK" w:cs="Times New Roman"/>
          <w:bCs/>
          <w:color w:val="000000"/>
          <w:spacing w:val="0"/>
          <w:kern w:val="0"/>
          <w:sz w:val="32"/>
          <w:szCs w:val="32"/>
        </w:rPr>
        <w:t>附件：云南省2024年度转移支付区域（项目）绩效自评表</w:t>
      </w:r>
    </w:p>
    <w:sectPr>
      <w:footerReference r:id="rId3" w:type="default"/>
      <w:type w:val="continuous"/>
      <w:pgSz w:w="11906" w:h="16838"/>
      <w:pgMar w:top="2098" w:right="1474" w:bottom="1984" w:left="1587" w:header="851" w:footer="1474" w:gutter="0"/>
      <w:pgNumType w:fmt="decimal"/>
      <w:cols w:space="720" w:num="1"/>
      <w:rtlGutter w:val="0"/>
      <w:docGrid w:type="linesAndChars" w:linePitch="57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258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935009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PtSAm/QAQAAogMAAA4AAAAAAAAAAQAgAAAAHwEAAGRy&#10;cy9lMm9Eb2MueG1sUEsFBgAAAAAGAAYAWQEAAGEFAAAAAA==&#10;">
              <v:fill on="f" focussize="0,0"/>
              <v:stroke on="f" weight="0.5pt"/>
              <v:imagedata o:title=""/>
              <o:lock v:ext="edit" aspectratio="f"/>
              <v:textbox inset="0mm,0mm,0mm,0mm" style="mso-fit-shape-to-text:t;">
                <w:txbxContent>
                  <w:p w14:paraId="3935009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389987"/>
    <w:multiLevelType w:val="singleLevel"/>
    <w:tmpl w:val="3038998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dit="readOnly" w:enforcement="0"/>
  <w:defaultTabStop w:val="420"/>
  <w:hyphenationZone w:val="360"/>
  <w:drawingGridHorizontalSpacing w:val="101"/>
  <w:drawingGridVerticalSpacing w:val="290"/>
  <w:displayHorizontalDrawingGridEvery w:val="2"/>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4YjZkYjgwMjQ4ZWM2YmJhYTk0ODFmMDM5MDYwNWQifQ=="/>
  </w:docVars>
  <w:rsids>
    <w:rsidRoot w:val="1EDDC0E9"/>
    <w:rsid w:val="1EDDC0E9"/>
    <w:rsid w:val="24156CF7"/>
    <w:rsid w:val="2FE982AA"/>
    <w:rsid w:val="313707AF"/>
    <w:rsid w:val="33FB1AB0"/>
    <w:rsid w:val="36EFEA61"/>
    <w:rsid w:val="37EFBA48"/>
    <w:rsid w:val="3BF5A3FF"/>
    <w:rsid w:val="3E5C0D9D"/>
    <w:rsid w:val="3EEDAA3E"/>
    <w:rsid w:val="3EEFD9AE"/>
    <w:rsid w:val="3F77989B"/>
    <w:rsid w:val="3F7F0197"/>
    <w:rsid w:val="3FB22792"/>
    <w:rsid w:val="4BEBD37C"/>
    <w:rsid w:val="4D422183"/>
    <w:rsid w:val="4D74387C"/>
    <w:rsid w:val="4E593845"/>
    <w:rsid w:val="547249E4"/>
    <w:rsid w:val="55DF077B"/>
    <w:rsid w:val="596B50BB"/>
    <w:rsid w:val="5EAF8CD3"/>
    <w:rsid w:val="627C5D8E"/>
    <w:rsid w:val="6BFA40A5"/>
    <w:rsid w:val="6D73D177"/>
    <w:rsid w:val="6F9E77E1"/>
    <w:rsid w:val="6FDC1BE2"/>
    <w:rsid w:val="73F4E2D1"/>
    <w:rsid w:val="75641FB5"/>
    <w:rsid w:val="765FA4DE"/>
    <w:rsid w:val="7B9FA84D"/>
    <w:rsid w:val="7BBC64F7"/>
    <w:rsid w:val="7BDFFD9D"/>
    <w:rsid w:val="7BF30969"/>
    <w:rsid w:val="7D5F100C"/>
    <w:rsid w:val="7E5FA297"/>
    <w:rsid w:val="7EBF459A"/>
    <w:rsid w:val="7EDFA108"/>
    <w:rsid w:val="7EFF2D29"/>
    <w:rsid w:val="7F7C2045"/>
    <w:rsid w:val="7FB0BE04"/>
    <w:rsid w:val="7FB5E53C"/>
    <w:rsid w:val="7FD7B8BF"/>
    <w:rsid w:val="7FED6FD3"/>
    <w:rsid w:val="7FEE2A6B"/>
    <w:rsid w:val="8F4722C8"/>
    <w:rsid w:val="973BE970"/>
    <w:rsid w:val="9ED7935C"/>
    <w:rsid w:val="A6BFF153"/>
    <w:rsid w:val="AFF92B88"/>
    <w:rsid w:val="B97F4D6C"/>
    <w:rsid w:val="B9FA07D8"/>
    <w:rsid w:val="BFAD2E05"/>
    <w:rsid w:val="D76D6962"/>
    <w:rsid w:val="DDF91F48"/>
    <w:rsid w:val="DE4FBF65"/>
    <w:rsid w:val="DF920F9C"/>
    <w:rsid w:val="E25FDD76"/>
    <w:rsid w:val="E96E1717"/>
    <w:rsid w:val="EBEAC013"/>
    <w:rsid w:val="EBF27B70"/>
    <w:rsid w:val="EF7F60CC"/>
    <w:rsid w:val="EFBEB3C3"/>
    <w:rsid w:val="EFEF18B4"/>
    <w:rsid w:val="F2F50605"/>
    <w:rsid w:val="F3A98019"/>
    <w:rsid w:val="F4D6A65C"/>
    <w:rsid w:val="F5CFE82A"/>
    <w:rsid w:val="F6BF196F"/>
    <w:rsid w:val="F8FD7C1C"/>
    <w:rsid w:val="FB77E175"/>
    <w:rsid w:val="FBEE11F6"/>
    <w:rsid w:val="FBFDB88C"/>
    <w:rsid w:val="FC5F88D4"/>
    <w:rsid w:val="FD778F7B"/>
    <w:rsid w:val="FEDFC119"/>
    <w:rsid w:val="FEFBD9B3"/>
    <w:rsid w:val="FF7E6D94"/>
    <w:rsid w:val="FFB07283"/>
    <w:rsid w:val="FFE58AF7"/>
    <w:rsid w:val="FFEF6F66"/>
    <w:rsid w:val="FFF35BBD"/>
    <w:rsid w:val="FFFE6A3F"/>
    <w:rsid w:val="FFFF9E9A"/>
    <w:rsid w:val="FFFFAFC7"/>
    <w:rsid w:val="FFFFB0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unhideWhenUsed/>
    <w:qFormat/>
    <w:uiPriority w:val="0"/>
  </w:style>
  <w:style w:type="table" w:default="1" w:styleId="5">
    <w:name w:val="Normal Table"/>
    <w:unhideWhenUsed/>
    <w:qFormat/>
    <w:uiPriority w:val="99"/>
    <w:tblPr>
      <w:tblStyle w:val="5"/>
      <w:tblCellMar>
        <w:top w:w="0" w:type="dxa"/>
        <w:left w:w="108" w:type="dxa"/>
        <w:bottom w:w="0" w:type="dxa"/>
        <w:right w:w="108" w:type="dxa"/>
      </w:tblCellMar>
    </w:tblPr>
  </w:style>
  <w:style w:type="paragraph" w:styleId="2">
    <w:name w:val="Body Text"/>
    <w:basedOn w:val="1"/>
    <w:unhideWhenUsed/>
    <w:qFormat/>
    <w:uiPriority w:val="99"/>
    <w:pPr>
      <w:spacing w:after="120" w:afterLines="0" w:afterAutospacing="0" w:line="240" w:lineRule="atLeast"/>
    </w:pPr>
    <w:rPr>
      <w:rFonts w:ascii="Times New Roman" w:hAnsi="Times New Roman" w:eastAsia="仿宋_GB2312" w:cs="Times New Roman"/>
      <w:spacing w:val="-6"/>
      <w:sz w:val="32"/>
      <w:szCs w:val="20"/>
    </w:rPr>
  </w:style>
  <w:style w:type="paragraph" w:styleId="3">
    <w:name w:val="footer"/>
    <w:basedOn w:val="1"/>
    <w:unhideWhenUsed/>
    <w:qFormat/>
    <w:uiPriority w:val="0"/>
    <w:pPr>
      <w:tabs>
        <w:tab w:val="center" w:pos="4153"/>
        <w:tab w:val="right" w:pos="8306"/>
      </w:tabs>
      <w:snapToGrid w:val="0"/>
      <w:jc w:val="left"/>
    </w:pPr>
    <w:rPr>
      <w:sz w:val="18"/>
    </w:rPr>
  </w:style>
  <w:style w:type="paragraph" w:styleId="4">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unhideWhenUsed/>
    <w:qFormat/>
    <w:uiPriority w:val="99"/>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nhideWhenUsed/>
    <w:qFormat/>
    <w:uiPriority w:val="99"/>
    <w:rPr>
      <w:rFonts w:ascii="Times New Roman" w:hAnsi="Times New Roman" w:eastAsia="宋体" w:cs="Times New Roman"/>
    </w:rPr>
  </w:style>
  <w:style w:type="character" w:customStyle="1" w:styleId="9">
    <w:name w:val="15"/>
    <w:basedOn w:val="7"/>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fileMode.wpt</Template>
  <Pages>8</Pages>
  <Words>3549</Words>
  <Characters>3804</Characters>
  <Lines>1</Lines>
  <Paragraphs>1</Paragraphs>
  <TotalTime>4.33333333333333</TotalTime>
  <ScaleCrop>false</ScaleCrop>
  <LinksUpToDate>false</LinksUpToDate>
  <CharactersWithSpaces>3807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2016-04-28T03:31:00Z</dcterms:created>
  <dc:creator>Administrator</dc:creator>
  <cp:lastModifiedBy>马敬</cp:lastModifiedBy>
  <cp:lastPrinted>2025-03-06T00:14:00Z</cp:lastPrinted>
  <dcterms:modified xsi:type="dcterms:W3CDTF">2025-04-03T02:30:17Z</dcterms:modified>
  <dc:title>附件n</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文种">
    <vt:lpwstr>unknow</vt:lpwstr>
  </property>
  <property fmtid="{D5CDD505-2E9C-101B-9397-08002B2CF9AE}" pid="4" name="ICV">
    <vt:lpwstr>C62FBB41ECB542C9BF736F6B133FF2C9_13</vt:lpwstr>
  </property>
</Properties>
</file>