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hint="eastAsia" w:ascii="黑体" w:hAnsi="黑体" w:eastAsia="黑体"/>
          <w:b w:val="0"/>
          <w:bCs w:val="0"/>
          <w:sz w:val="30"/>
          <w:szCs w:val="30"/>
        </w:rPr>
      </w:pPr>
      <w:r>
        <w:rPr>
          <w:rFonts w:hint="eastAsia" w:ascii="黑体" w:hAnsi="黑体" w:eastAsia="黑体"/>
          <w:b w:val="0"/>
          <w:bCs w:val="0"/>
          <w:sz w:val="30"/>
          <w:szCs w:val="30"/>
        </w:rPr>
        <w:t>附件1</w:t>
      </w:r>
    </w:p>
    <w:p>
      <w:pPr>
        <w:ind w:left="0" w:leftChars="0" w:firstLine="0" w:firstLineChars="0"/>
        <w:rPr>
          <w:rFonts w:hint="eastAsia" w:ascii="黑体" w:hAnsi="黑体" w:eastAsia="黑体"/>
          <w:b w:val="0"/>
          <w:bCs w:val="0"/>
          <w:sz w:val="30"/>
          <w:szCs w:val="30"/>
        </w:rPr>
      </w:pPr>
    </w:p>
    <w:p>
      <w:pPr>
        <w:ind w:left="0" w:leftChars="0" w:firstLine="0" w:firstLineChars="0"/>
        <w:rPr>
          <w:rFonts w:hint="eastAsia" w:ascii="黑体" w:hAnsi="黑体" w:eastAsia="黑体"/>
          <w:b w:val="0"/>
          <w:bCs w:val="0"/>
          <w:sz w:val="30"/>
          <w:szCs w:val="30"/>
        </w:rPr>
      </w:pPr>
    </w:p>
    <w:p>
      <w:pPr>
        <w:widowControl/>
        <w:ind w:firstLine="0" w:firstLineChars="0"/>
        <w:jc w:val="center"/>
        <w:rPr>
          <w:rFonts w:hint="eastAsia" w:ascii="方正小标宋_GBK" w:hAnsi="方正小标宋_GBK" w:eastAsia="方正小标宋_GBK" w:cs="方正小标宋_GBK"/>
          <w:b w:val="0"/>
          <w:bCs w:val="0"/>
          <w:kern w:val="0"/>
          <w:sz w:val="44"/>
          <w:szCs w:val="44"/>
          <w:lang w:val="en-US" w:eastAsia="zh-CN"/>
        </w:rPr>
      </w:pPr>
      <w:r>
        <w:rPr>
          <w:rFonts w:hint="eastAsia" w:ascii="方正小标宋_GBK" w:hAnsi="方正小标宋_GBK" w:eastAsia="方正小标宋_GBK" w:cs="方正小标宋_GBK"/>
          <w:b w:val="0"/>
          <w:bCs w:val="0"/>
          <w:kern w:val="0"/>
          <w:sz w:val="44"/>
          <w:szCs w:val="44"/>
          <w:lang w:val="en-US" w:eastAsia="zh-CN"/>
        </w:rPr>
        <w:t>云南省社会保险局</w:t>
      </w:r>
      <w:r>
        <w:rPr>
          <w:rFonts w:hint="eastAsia" w:ascii="方正小标宋_GBK" w:hAnsi="方正小标宋_GBK" w:eastAsia="方正小标宋_GBK" w:cs="方正小标宋_GBK"/>
          <w:sz w:val="44"/>
          <w:szCs w:val="44"/>
          <w:u w:color="auto"/>
        </w:rPr>
        <w:t>2025年预算公开目录</w:t>
      </w:r>
    </w:p>
    <w:p>
      <w:pPr>
        <w:rPr>
          <w:b w:val="0"/>
          <w:bCs w:val="0"/>
        </w:rPr>
      </w:pPr>
    </w:p>
    <w:p>
      <w:pPr>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 xml:space="preserve">第一部分 </w:t>
      </w:r>
      <w:r>
        <w:rPr>
          <w:rFonts w:hint="eastAsia" w:ascii="方正黑体_GBK" w:hAnsi="方正黑体_GBK" w:eastAsia="方正黑体_GBK" w:cs="方正黑体_GBK"/>
          <w:b w:val="0"/>
          <w:bCs w:val="0"/>
          <w:sz w:val="32"/>
          <w:szCs w:val="32"/>
          <w:lang w:val="en-US" w:eastAsia="zh-CN"/>
        </w:rPr>
        <w:t>云南省社会保险局</w:t>
      </w:r>
      <w:r>
        <w:rPr>
          <w:rFonts w:hint="eastAsia" w:ascii="方正黑体_GBK" w:hAnsi="方正黑体_GBK" w:eastAsia="方正黑体_GBK" w:cs="方正黑体_GBK"/>
          <w:b w:val="0"/>
          <w:bCs w:val="0"/>
          <w:sz w:val="32"/>
          <w:szCs w:val="32"/>
        </w:rPr>
        <w:t>202</w:t>
      </w:r>
      <w:r>
        <w:rPr>
          <w:rFonts w:hint="eastAsia" w:ascii="方正黑体_GBK" w:hAnsi="方正黑体_GBK" w:eastAsia="方正黑体_GBK" w:cs="方正黑体_GBK"/>
          <w:b w:val="0"/>
          <w:bCs w:val="0"/>
          <w:sz w:val="32"/>
          <w:szCs w:val="32"/>
          <w:lang w:val="en-US" w:eastAsia="zh-CN"/>
        </w:rPr>
        <w:t>5</w:t>
      </w:r>
      <w:r>
        <w:rPr>
          <w:rFonts w:hint="eastAsia" w:ascii="方正黑体_GBK" w:hAnsi="方正黑体_GBK" w:eastAsia="方正黑体_GBK" w:cs="方正黑体_GBK"/>
          <w:b w:val="0"/>
          <w:bCs w:val="0"/>
          <w:sz w:val="32"/>
          <w:szCs w:val="32"/>
        </w:rPr>
        <w:t>年部门预算编制说明</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一、基本职能及主要工作</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二、预算单位基本情况</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三、预算单位收入情况</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四、预算单位支出情况</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五、省对下专项转移支付情况</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六、政府采购预算情况</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七、部门“三公”经费增减变化情况及原因说明</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八、重点项目预算绩效目标情况</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九、其他公开信息</w:t>
      </w:r>
    </w:p>
    <w:p>
      <w:pPr>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 xml:space="preserve">第二部分 </w:t>
      </w:r>
      <w:r>
        <w:rPr>
          <w:rFonts w:hint="eastAsia" w:ascii="方正黑体_GBK" w:hAnsi="方正黑体_GBK" w:eastAsia="方正黑体_GBK" w:cs="方正黑体_GBK"/>
          <w:b w:val="0"/>
          <w:bCs w:val="0"/>
          <w:sz w:val="32"/>
          <w:szCs w:val="32"/>
          <w:lang w:val="en-US" w:eastAsia="zh-CN"/>
        </w:rPr>
        <w:t>云南省社会保险局</w:t>
      </w:r>
      <w:r>
        <w:rPr>
          <w:rFonts w:hint="eastAsia" w:ascii="方正黑体_GBK" w:hAnsi="方正黑体_GBK" w:eastAsia="方正黑体_GBK" w:cs="方正黑体_GBK"/>
          <w:b w:val="0"/>
          <w:bCs w:val="0"/>
          <w:sz w:val="32"/>
          <w:szCs w:val="32"/>
        </w:rPr>
        <w:t>202</w:t>
      </w:r>
      <w:r>
        <w:rPr>
          <w:rFonts w:hint="eastAsia" w:ascii="方正黑体_GBK" w:hAnsi="方正黑体_GBK" w:eastAsia="方正黑体_GBK" w:cs="方正黑体_GBK"/>
          <w:b w:val="0"/>
          <w:bCs w:val="0"/>
          <w:sz w:val="32"/>
          <w:szCs w:val="32"/>
          <w:lang w:val="en-US" w:eastAsia="zh-CN"/>
        </w:rPr>
        <w:t>5</w:t>
      </w:r>
      <w:r>
        <w:rPr>
          <w:rFonts w:hint="eastAsia" w:ascii="方正黑体_GBK" w:hAnsi="方正黑体_GBK" w:eastAsia="方正黑体_GBK" w:cs="方正黑体_GBK"/>
          <w:b w:val="0"/>
          <w:bCs w:val="0"/>
          <w:sz w:val="32"/>
          <w:szCs w:val="32"/>
        </w:rPr>
        <w:t>年部门预算表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一、</w:t>
      </w:r>
      <w:r>
        <w:rPr>
          <w:rFonts w:hint="eastAsia" w:ascii="方正楷体_GBK" w:hAnsi="方正楷体_GBK" w:eastAsia="方正楷体_GBK" w:cs="方正楷体_GBK"/>
          <w:b w:val="0"/>
          <w:bCs w:val="0"/>
          <w:sz w:val="32"/>
          <w:szCs w:val="32"/>
          <w:lang w:val="en-US" w:eastAsia="zh-CN" w:bidi="ar"/>
        </w:rPr>
        <w:t>部门</w:t>
      </w:r>
      <w:r>
        <w:rPr>
          <w:rFonts w:hint="eastAsia" w:ascii="方正楷体_GBK" w:hAnsi="方正楷体_GBK" w:eastAsia="方正楷体_GBK" w:cs="方正楷体_GBK"/>
          <w:b w:val="0"/>
          <w:bCs w:val="0"/>
          <w:sz w:val="32"/>
          <w:szCs w:val="32"/>
          <w:lang w:bidi="ar"/>
        </w:rPr>
        <w:t>财务收支预算总表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二、部门收入预算表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三、部门支出预算表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四、</w:t>
      </w:r>
      <w:r>
        <w:rPr>
          <w:rFonts w:hint="eastAsia" w:ascii="方正楷体_GBK" w:hAnsi="方正楷体_GBK" w:eastAsia="方正楷体_GBK" w:cs="方正楷体_GBK"/>
          <w:b w:val="0"/>
          <w:bCs w:val="0"/>
          <w:sz w:val="32"/>
          <w:szCs w:val="32"/>
          <w:lang w:val="en-US" w:eastAsia="zh-CN" w:bidi="ar"/>
        </w:rPr>
        <w:t>部门</w:t>
      </w:r>
      <w:r>
        <w:rPr>
          <w:rFonts w:hint="eastAsia" w:ascii="方正楷体_GBK" w:hAnsi="方正楷体_GBK" w:eastAsia="方正楷体_GBK" w:cs="方正楷体_GBK"/>
          <w:b w:val="0"/>
          <w:bCs w:val="0"/>
          <w:sz w:val="32"/>
          <w:szCs w:val="32"/>
          <w:lang w:bidi="ar"/>
        </w:rPr>
        <w:t>财政拨款收支预算总表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五、一般公共预算支出预算表（按功能科目分类）</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六、一般公共预算“三公”经费支出预算表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七、部门基本支出预算表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八、部门项目支出预算表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九、</w:t>
      </w:r>
      <w:r>
        <w:rPr>
          <w:rFonts w:hint="eastAsia" w:ascii="方正楷体_GBK" w:hAnsi="方正楷体_GBK" w:eastAsia="方正楷体_GBK" w:cs="方正楷体_GBK"/>
          <w:b w:val="0"/>
          <w:bCs w:val="0"/>
          <w:sz w:val="32"/>
          <w:szCs w:val="32"/>
          <w:lang w:val="en-US" w:eastAsia="zh-CN" w:bidi="ar"/>
        </w:rPr>
        <w:t>部门</w:t>
      </w:r>
      <w:r>
        <w:rPr>
          <w:rFonts w:hint="eastAsia" w:ascii="方正楷体_GBK" w:hAnsi="方正楷体_GBK" w:eastAsia="方正楷体_GBK" w:cs="方正楷体_GBK"/>
          <w:b w:val="0"/>
          <w:bCs w:val="0"/>
          <w:sz w:val="32"/>
          <w:szCs w:val="32"/>
          <w:lang w:bidi="ar"/>
        </w:rPr>
        <w:t>项目支出绩效目标表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十、</w:t>
      </w:r>
      <w:r>
        <w:rPr>
          <w:rFonts w:hint="eastAsia" w:ascii="方正楷体_GBK" w:hAnsi="方正楷体_GBK" w:eastAsia="方正楷体_GBK" w:cs="方正楷体_GBK"/>
          <w:b w:val="0"/>
          <w:bCs w:val="0"/>
          <w:sz w:val="32"/>
          <w:szCs w:val="32"/>
          <w:lang w:val="en-US" w:eastAsia="zh-CN" w:bidi="ar"/>
        </w:rPr>
        <w:t>部门</w:t>
      </w:r>
      <w:r>
        <w:rPr>
          <w:rFonts w:hint="eastAsia" w:ascii="方正楷体_GBK" w:hAnsi="方正楷体_GBK" w:eastAsia="方正楷体_GBK" w:cs="方正楷体_GBK"/>
          <w:b w:val="0"/>
          <w:bCs w:val="0"/>
          <w:sz w:val="32"/>
          <w:szCs w:val="32"/>
          <w:lang w:bidi="ar"/>
        </w:rPr>
        <w:t>政府性基金预算支出预算表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十一、部门政府采购预算表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十二、</w:t>
      </w:r>
      <w:r>
        <w:rPr>
          <w:rFonts w:hint="eastAsia" w:ascii="方正楷体_GBK" w:hAnsi="方正楷体_GBK" w:eastAsia="方正楷体_GBK" w:cs="方正楷体_GBK"/>
          <w:b w:val="0"/>
          <w:bCs w:val="0"/>
          <w:sz w:val="32"/>
          <w:szCs w:val="32"/>
          <w:lang w:val="en-US" w:eastAsia="zh-CN" w:bidi="ar"/>
        </w:rPr>
        <w:t>部门</w:t>
      </w:r>
      <w:r>
        <w:rPr>
          <w:rFonts w:hint="eastAsia" w:ascii="方正楷体_GBK" w:hAnsi="方正楷体_GBK" w:eastAsia="方正楷体_GBK" w:cs="方正楷体_GBK"/>
          <w:b w:val="0"/>
          <w:bCs w:val="0"/>
          <w:sz w:val="32"/>
          <w:szCs w:val="32"/>
          <w:lang w:bidi="ar"/>
        </w:rPr>
        <w:t>政府购买服务预算表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lang w:bidi="ar"/>
        </w:rPr>
      </w:pPr>
      <w:r>
        <w:rPr>
          <w:rFonts w:hint="eastAsia" w:ascii="方正楷体_GBK" w:hAnsi="方正楷体_GBK" w:eastAsia="方正楷体_GBK" w:cs="方正楷体_GBK"/>
          <w:b w:val="0"/>
          <w:bCs w:val="0"/>
          <w:sz w:val="32"/>
          <w:szCs w:val="32"/>
          <w:lang w:bidi="ar"/>
        </w:rPr>
        <w:t>十三、省对下转移支付预算表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十四、省对下转移支付绩效目标表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十五、新增资产配置表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十六、</w:t>
      </w:r>
      <w:r>
        <w:rPr>
          <w:rFonts w:hint="eastAsia" w:ascii="方正楷体_GBK" w:hAnsi="方正楷体_GBK" w:eastAsia="方正楷体_GBK" w:cs="方正楷体_GBK"/>
          <w:sz w:val="32"/>
          <w:szCs w:val="32"/>
          <w:lang w:eastAsia="zh-CN"/>
        </w:rPr>
        <w:t>中央转移支付补助项目支出预算表</w:t>
      </w:r>
    </w:p>
    <w:p>
      <w:pPr>
        <w:keepNext w:val="0"/>
        <w:keepLines w:val="0"/>
        <w:pageBreakBefore w:val="0"/>
        <w:widowControl/>
        <w:kinsoku/>
        <w:wordWrap/>
        <w:overflowPunct/>
        <w:topLinePunct w:val="0"/>
        <w:autoSpaceDE/>
        <w:autoSpaceDN/>
        <w:bidi w:val="0"/>
        <w:adjustRightInd/>
        <w:snapToGrid/>
        <w:spacing w:line="590" w:lineRule="exac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bidi="ar"/>
        </w:rPr>
        <w:t>十七、部门项目中期规划预算表</w:t>
      </w:r>
    </w:p>
    <w:p>
      <w:pPr>
        <w:rPr>
          <w:rFonts w:hint="eastAsia" w:ascii="黑体" w:hAnsi="黑体" w:eastAsia="黑体"/>
          <w:b w:val="0"/>
          <w:bCs w:val="0"/>
          <w:sz w:val="32"/>
          <w:szCs w:val="32"/>
        </w:rPr>
      </w:pPr>
    </w:p>
    <w:p>
      <w:pPr>
        <w:rPr>
          <w:rFonts w:hint="eastAsia" w:ascii="黑体" w:hAnsi="黑体" w:eastAsia="黑体"/>
          <w:b w:val="0"/>
          <w:bCs w:val="0"/>
        </w:rPr>
      </w:pPr>
    </w:p>
    <w:p>
      <w:pPr>
        <w:rPr>
          <w:rFonts w:hint="eastAsia" w:ascii="黑体" w:hAnsi="黑体" w:eastAsia="黑体"/>
          <w:b w:val="0"/>
          <w:bCs w:val="0"/>
        </w:rPr>
      </w:pPr>
    </w:p>
    <w:p>
      <w:pPr>
        <w:rPr>
          <w:rFonts w:hint="eastAsia" w:ascii="黑体" w:hAnsi="黑体" w:eastAsia="黑体"/>
          <w:b w:val="0"/>
          <w:bCs w:val="0"/>
        </w:rPr>
      </w:pPr>
    </w:p>
    <w:p>
      <w:pPr>
        <w:rPr>
          <w:rFonts w:hint="eastAsia" w:ascii="黑体" w:hAnsi="黑体" w:eastAsia="黑体"/>
          <w:b w:val="0"/>
          <w:bCs w:val="0"/>
        </w:rPr>
      </w:pPr>
    </w:p>
    <w:p>
      <w:pPr>
        <w:rPr>
          <w:rFonts w:hint="eastAsia" w:ascii="黑体" w:hAnsi="黑体" w:eastAsia="黑体"/>
          <w:b w:val="0"/>
          <w:bCs w:val="0"/>
        </w:rPr>
      </w:pPr>
    </w:p>
    <w:p>
      <w:pPr>
        <w:rPr>
          <w:rFonts w:hint="eastAsia" w:ascii="黑体" w:hAnsi="黑体" w:eastAsia="黑体"/>
          <w:b w:val="0"/>
          <w:bCs w:val="0"/>
        </w:rPr>
      </w:pPr>
    </w:p>
    <w:p>
      <w:pPr>
        <w:rPr>
          <w:rFonts w:hint="eastAsia" w:ascii="黑体" w:hAnsi="黑体" w:eastAsia="黑体"/>
          <w:b w:val="0"/>
          <w:bCs w:val="0"/>
        </w:rPr>
      </w:pPr>
      <w:r>
        <w:rPr>
          <w:rFonts w:hint="eastAsia" w:ascii="黑体" w:hAnsi="黑体" w:eastAsia="黑体"/>
          <w:b w:val="0"/>
          <w:bCs w:val="0"/>
        </w:rPr>
        <w:br w:type="page"/>
      </w:r>
    </w:p>
    <w:p>
      <w:pPr>
        <w:ind w:left="0" w:leftChars="0" w:firstLine="0" w:firstLineChars="0"/>
        <w:rPr>
          <w:rFonts w:hint="eastAsia" w:ascii="黑体" w:hAnsi="黑体" w:eastAsia="黑体"/>
          <w:b w:val="0"/>
          <w:bCs w:val="0"/>
          <w:sz w:val="30"/>
          <w:szCs w:val="30"/>
        </w:rPr>
      </w:pPr>
      <w:r>
        <w:rPr>
          <w:rFonts w:hint="eastAsia" w:ascii="黑体" w:hAnsi="黑体" w:eastAsia="黑体"/>
          <w:b w:val="0"/>
          <w:bCs w:val="0"/>
          <w:sz w:val="30"/>
          <w:szCs w:val="30"/>
        </w:rPr>
        <w:t>附件2</w:t>
      </w:r>
    </w:p>
    <w:p>
      <w:pPr>
        <w:keepNext w:val="0"/>
        <w:keepLines w:val="0"/>
        <w:widowControl/>
        <w:kinsoku/>
        <w:wordWrap/>
        <w:overflowPunct/>
        <w:topLinePunct w:val="0"/>
        <w:autoSpaceDE/>
        <w:autoSpaceDN/>
        <w:bidi w:val="0"/>
        <w:adjustRightInd/>
        <w:snapToGrid/>
        <w:spacing w:line="600" w:lineRule="exact"/>
        <w:textAlignment w:val="auto"/>
        <w:rPr>
          <w:b w:val="0"/>
          <w:bCs w:val="0"/>
        </w:rPr>
      </w:pPr>
    </w:p>
    <w:p>
      <w:pPr>
        <w:keepNext w:val="0"/>
        <w:keepLines w:val="0"/>
        <w:widowControl/>
        <w:kinsoku/>
        <w:wordWrap/>
        <w:overflowPunct/>
        <w:topLinePunct w:val="0"/>
        <w:autoSpaceDE/>
        <w:autoSpaceDN/>
        <w:bidi w:val="0"/>
        <w:adjustRightInd/>
        <w:snapToGrid/>
        <w:spacing w:line="600" w:lineRule="exact"/>
        <w:textAlignment w:val="auto"/>
        <w:rPr>
          <w:b w:val="0"/>
          <w:bCs w:val="0"/>
        </w:rPr>
      </w:pPr>
    </w:p>
    <w:p>
      <w:pPr>
        <w:keepNext w:val="0"/>
        <w:keepLines w:val="0"/>
        <w:widowControl/>
        <w:kinsoku/>
        <w:wordWrap/>
        <w:overflowPunct/>
        <w:topLinePunct w:val="0"/>
        <w:autoSpaceDE/>
        <w:autoSpaceDN/>
        <w:bidi w:val="0"/>
        <w:adjustRightInd/>
        <w:snapToGrid/>
        <w:spacing w:line="600" w:lineRule="exact"/>
        <w:ind w:firstLine="0" w:firstLineChars="0"/>
        <w:jc w:val="center"/>
        <w:textAlignment w:val="auto"/>
        <w:rPr>
          <w:rFonts w:hint="eastAsia" w:ascii="宋体" w:hAnsi="宋体" w:eastAsia="方正小标宋_GBK" w:cs="宋体"/>
          <w:b w:val="0"/>
          <w:bCs w:val="0"/>
          <w:kern w:val="0"/>
          <w:sz w:val="44"/>
          <w:szCs w:val="44"/>
          <w:lang w:val="en-US" w:eastAsia="zh-CN"/>
        </w:rPr>
      </w:pPr>
      <w:r>
        <w:rPr>
          <w:rFonts w:hint="eastAsia" w:ascii="宋体" w:hAnsi="宋体" w:eastAsia="方正小标宋_GBK" w:cs="宋体"/>
          <w:b w:val="0"/>
          <w:bCs w:val="0"/>
          <w:kern w:val="0"/>
          <w:sz w:val="44"/>
          <w:szCs w:val="44"/>
          <w:lang w:val="en-US" w:eastAsia="zh-CN"/>
        </w:rPr>
        <w:t>云南省社会保险局</w:t>
      </w:r>
      <w:r>
        <w:rPr>
          <w:rFonts w:ascii="宋体" w:hAnsi="宋体" w:eastAsia="方正小标宋_GBK" w:cs="宋体"/>
          <w:b w:val="0"/>
          <w:bCs w:val="0"/>
          <w:sz w:val="44"/>
          <w:szCs w:val="44"/>
          <w:u w:color="auto"/>
        </w:rPr>
        <w:t>2025年部门预算编制说明</w:t>
      </w:r>
    </w:p>
    <w:p>
      <w:pPr>
        <w:keepNext w:val="0"/>
        <w:keepLines w:val="0"/>
        <w:widowControl/>
        <w:kinsoku/>
        <w:wordWrap/>
        <w:overflowPunct/>
        <w:topLinePunct w:val="0"/>
        <w:autoSpaceDE/>
        <w:autoSpaceDN/>
        <w:bidi w:val="0"/>
        <w:adjustRightInd/>
        <w:snapToGrid/>
        <w:spacing w:line="600" w:lineRule="exact"/>
        <w:textAlignment w:val="auto"/>
        <w:rPr>
          <w:b w:val="0"/>
          <w:bCs w:val="0"/>
        </w:rPr>
      </w:pP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一、基本职能及主要工作</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（一）部门主要职责</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贯彻执行社会保险法律、法规和省委、省政府及厅党组有关社会保险的工作部署，管理指导全省养老（包含城镇职工和城乡居民基本养老保险）、工伤、失业保险业务经办，基金管理等工作，受托负责全省机关事业单位职业年金集中委托投资运营，直接经办省级管理单位的企业职工基本养老保险、机关事业单位基本养老保险（含职业年金）、工伤保险业务，以及基本养老保险基金委托投资运营工作。</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（二）机构设置情况</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云南省社会保险局成立于2001年，共设置11个内设机构，包括：办公室、社会保险关系一处、社会保险关系二处、社会保险关系三处、社会化服务处、机关事业单位养老保险一处、机关事业单位养老保险二处、机关事业单位养老保险三处、稽核处、统计监测处、基金财务处。</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所属单位0个。</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（三）重点工作概述</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2025年，我局认真落实人社系统社保局长座谈会和全省人社工作会议要求，坚持服务发展与服务民生并重，坚持扩大社会保障范围与提升社会保障层次并重，有序推进各项工作。落实改革部署，不断健全社会保障制度体系；确保待遇发放，兜牢民生底线；实施扩面行动，持续扩大社会保障覆盖范围；推进社会保险违规经办问题专项整治，基金运行安全平稳；贯彻实施《社会保险经办条例》，深化行风建设，优化公共服务水平；延续实施失业保险系列援企稳岗政策，助力保市场主体稳就业，严格落实困难群体代缴政策，为经济运行减震护航。</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二、预算单位基本情况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我部门编制2025年部门预算单位共1个。其中：财政全额供给单位1个；差额供给单位0个；定额补助单位0个；自收自支单位0个。财政全额供给单位中行政单位0个；参公单位1个；事业单位0个。截止2024年12月统计，部门基本情况如下：</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在职人员编制99人，其中：行政编制0人,工勤人员编制0人，事业编制99人。在职实有95人，其中：财政全额保障95人，财政差额补助0人，财政专户资金、单位资金保障0人。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离退休人员30人，其中：离休0人，退休30人。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车辆编制2辆，实有车辆1辆。</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三、预算单位收入情况</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（一）部门财务收入情况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2025年部门财务总收入4,123,995,439.02元，其中：一般公共预算4,123,995,439.02元，政府性基金0.00元，国有资本经营收益0.00元，财政专户管理的收入0.00元，事业收入0.00元，事业单位经营收入0.00元，上级补助收入0.00元，附属单位上缴收入0.00元，其他收入0.00元。</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与上年对比增加392,247,776.16元，增长10.51%，主要原因分析:一是“省级部门职业年金记实资金”较上年增加55,000,000.00元；二是“企业养老保险补助资金”较上年增加88,000,000.00元；三是“机关事业单位养老保险待遇补助资金”较上年增加250,000,000.00元。</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（二）财政拨款收入情况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2025年部门财政拨款收入4,123,995,439.02元，其中：本年收入4,123,815,539.02元，上年结转收入179,900.00元。本年收入中，一般公共预算财政拨款4,123,815,539.02元，政府性基金预算财政拨款0.00元，国有资本经营收益财政拨款0.00元。</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与上年对比增加392,247,776.16元，增长10.51%，主要原因分析：一是“省级部门职业年金记实资金”较上年增加55,000,000.00元；二是“企业养老保险补助资金”较上年增加88,000,000.00元；三是“机关事业单位养老保险待遇补助资金”较上年增加250,000,000.00元。</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四、预算单位支出情况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2025年部门预算总支出4,123,995,439.02元。财政拨款安排支出4,123,995,439.02元，其中：基本支出3,675,164,239.02元，与上年对比增加305,591,876.16元，增长9.07%，主要原因分析：一是“机关事业单位养老保险待遇补助资金”预算较上年增加250,000,000.00元，二是“省级部门职业年金记实资金”较上年增加55,000,000.00元；项目支出448,831,200.00元，与上年对比增加86,656,000.00元，增长23.92%，主要原因：“企业养老保险补助资金”较上年增加88,000,000.00元。</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宋体" w:hAnsi="宋体" w:eastAsia="方正仿宋_GBK" w:cs="宋体"/>
          <w:b/>
          <w:bCs/>
          <w:sz w:val="32"/>
          <w:szCs w:val="30"/>
          <w:lang w:val="en-US" w:eastAsia="zh-CN"/>
        </w:rPr>
      </w:pPr>
      <w:r>
        <w:rPr>
          <w:rFonts w:hint="eastAsia" w:ascii="宋体" w:hAnsi="宋体" w:eastAsia="方正仿宋_GBK" w:cs="宋体"/>
          <w:b/>
          <w:bCs/>
          <w:sz w:val="32"/>
          <w:szCs w:val="30"/>
          <w:lang w:val="en-US" w:eastAsia="zh-CN"/>
        </w:rPr>
        <w:t>财政拨款安排支出按功能科目分类情况: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社会保障和就业支出-人力资源和社会保障管理事务-行政运行18,857,710.82元，主要用于省社保局人员工资和保障机关日常运转支出。</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社会保障和就业支出-人力资源和社会保障管理事务-社会保险业务管理事务6,731,200.00元，主要用于社会保险待遇社会化发放及管理专项经费项目支出。</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社会保障和就业支出-人力资源和社会保障管理事务-其他人力资源和社会保障管理事务支出100,000.00元，主要用于省社保局社会保险基金预决算管理工作支出。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社会保障和就业支出-行政事业单位养老支出-行政单位离退休15,660.00元，主要用于省社保局退休干部活动经费支出。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社会保障和就业支出-行政事业单位养老支出-机关事业单位基本养老保险缴费支出2,196,587.52元，主要用于省社保局职工机关事业单位基本养老保险单位部分缴费支出。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社会保障和就业支出-行政事业单位养老支出-机关事业单位职业年金缴费支出400,000,000.00元，主要用于省级机关事业单位职业年金单位部分缴费支出。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社会保障和就业支出-行政事业单位养老支出-对机关事业单位基本养老保险基金的补助3,250,000,000.00元，主要用于省级机关事业单位养老保险待遇发放支出。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社会保障和就业支出-财政对基本养老保险基金的补助-财政对企业职工基本养老保险基金的补助442,000,000.00元，主要用于省级财政对企业养老保险补助资金项目支出。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社会保障和就业支出-其他社会保障和就业支出-其他社会保障和就业支出21,387.98元，主要用于省社保局职工工伤保险缴费支出。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卫生健康支出-行政事业单位医疗-行政单位医疗1,482,696.58元，主要用于省社保局职工基本医疗保险缴费支出。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卫生健康支出-行政事业单位医疗-公务员医疗补助760,084.40元，主要用于省社保局职工公务员医疗补助缴费支出。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卫生健康支出-行政事业单位医疗-其他行政事业单位医疗支出48,750.00元，主要用于省社保局职工大病保险费缴费支出。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住房保障支出-住房改革支出-住房公积金1,781,361.72元，主要用于省社保局职工公积金单位部分缴费支出。</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lang w:val="en-US" w:eastAsia="zh-CN"/>
        </w:rPr>
        <w:t>五、</w:t>
      </w:r>
      <w:r>
        <w:rPr>
          <w:rFonts w:hint="eastAsia" w:ascii="方正黑体_GBK" w:hAnsi="方正黑体_GBK" w:eastAsia="方正黑体_GBK" w:cs="方正黑体_GBK"/>
          <w:b w:val="0"/>
          <w:bCs w:val="0"/>
          <w:sz w:val="32"/>
        </w:rPr>
        <w:t>省对下专项转移支付情况</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宋体" w:hAnsi="宋体" w:eastAsia="方正楷体_GBK" w:cs="宋体"/>
          <w:sz w:val="32"/>
        </w:rPr>
      </w:pPr>
      <w:r>
        <w:rPr>
          <w:rFonts w:hint="eastAsia" w:ascii="宋体" w:hAnsi="宋体" w:eastAsia="方正楷体_GBK" w:cs="宋体"/>
          <w:sz w:val="32"/>
        </w:rPr>
        <w:t>（一）与中央配套事项</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无。</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宋体" w:hAnsi="宋体" w:eastAsia="方正楷体_GBK" w:cs="宋体"/>
          <w:sz w:val="32"/>
        </w:rPr>
      </w:pPr>
      <w:r>
        <w:rPr>
          <w:rFonts w:hint="eastAsia" w:ascii="宋体" w:hAnsi="宋体" w:eastAsia="方正楷体_GBK" w:cs="宋体"/>
          <w:sz w:val="32"/>
        </w:rPr>
        <w:t>（二）按既定政策标准测算补助事项</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社会保障和就业支出-财政对基本养老保险基金的补助-财政对城乡居民基本养老保险基金的补助2,478,248,200.00元，主要用于保障城乡居民的个人缴费补贴和待遇发放支出。</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社会保障和就业支出-财政对基本养老保险基金的补助-财政对13号813号文生活补贴补助资金998,000.00元，主要用于对符合“13、813号文生活补贴（地州）”条件的退休人员的生活补贴支出。</w:t>
      </w:r>
    </w:p>
    <w:p>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方正楷体_GBK" w:hAnsi="方正楷体_GBK" w:eastAsia="方正楷体_GBK" w:cs="方正楷体_GBK"/>
          <w:sz w:val="32"/>
        </w:rPr>
      </w:pPr>
      <w:r>
        <w:rPr>
          <w:rFonts w:hint="eastAsia" w:ascii="方正楷体_GBK" w:hAnsi="方正楷体_GBK" w:eastAsia="方正楷体_GBK" w:cs="方正楷体_GBK"/>
          <w:sz w:val="32"/>
        </w:rPr>
        <w:t>（三）经济社会事业发展事项</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方正仿宋_GBK" w:cs="宋体"/>
          <w:kern w:val="0"/>
          <w:sz w:val="32"/>
          <w:szCs w:val="32"/>
          <w:lang w:val="en-US" w:eastAsia="zh-CN" w:bidi="ar"/>
        </w:rPr>
      </w:pPr>
      <w:r>
        <w:rPr>
          <w:rFonts w:hint="eastAsia" w:ascii="宋体" w:hAnsi="宋体" w:eastAsia="方正仿宋_GBK" w:cs="宋体"/>
          <w:kern w:val="0"/>
          <w:sz w:val="32"/>
          <w:szCs w:val="32"/>
          <w:lang w:val="en-US" w:eastAsia="zh-CN" w:bidi="ar"/>
        </w:rPr>
        <w:t>无。</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lang w:val="en-US" w:eastAsia="zh-CN"/>
        </w:rPr>
      </w:pPr>
      <w:r>
        <w:rPr>
          <w:rFonts w:hint="eastAsia" w:ascii="方正黑体_GBK" w:hAnsi="方正黑体_GBK" w:eastAsia="方正黑体_GBK" w:cs="方正黑体_GBK"/>
          <w:b w:val="0"/>
          <w:bCs w:val="0"/>
          <w:sz w:val="32"/>
          <w:lang w:val="en-US" w:eastAsia="zh-CN"/>
        </w:rPr>
        <w:t>六、政府采购预算情况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根据《中华人民共和国政府采购法》的有关规定，编制了政府采购预算，共涉及采购项目11.00个，采购预算总额4,084,000.00元，其中：政府采购货物预算709,000.00元、政府采购服务预算3,375,000.00元、政府采购工程预算0.00元。</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lang w:val="en-US" w:eastAsia="zh-CN"/>
        </w:rPr>
      </w:pPr>
      <w:r>
        <w:rPr>
          <w:rFonts w:hint="eastAsia" w:ascii="方正黑体_GBK" w:hAnsi="方正黑体_GBK" w:eastAsia="方正黑体_GBK" w:cs="方正黑体_GBK"/>
          <w:b w:val="0"/>
          <w:bCs w:val="0"/>
          <w:sz w:val="32"/>
          <w:lang w:val="en-US" w:eastAsia="zh-CN"/>
        </w:rPr>
        <w:t>七、部门“三公”经费增减变化情况及原因说明</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云南省社会保险局部门2025年一般公共预算财政拨款“三公”经费预算合计136,000.00元，较上年减少2,000.00元，下降1.45%，具体变动情况如下：</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（一）因公出国（境）费</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云南省社会保险局部门2025年因公出国（境）费预算为0.00元，较上年增加0.00元，增长0%，共计安排因公出国（境）团组0个，因公出国（境）0人次。</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与上年相比无变化。</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（二）公务接待费</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云南省社会保险局部门2025年公务接待费预算为98,000.00元，较上年减少1,000.00元，下降1.01%，国内公务接待批次为65次，共计接待650人次。</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减少原因：严格落实中央八项规定及其实施细则精神，逐年压减公务接待费用支出。</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（三）公务用车购置及运行维护费</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云南省社会保险局部门2025年公务用车购置及运行维护费为38,000.00元，较上年减少1,000.00元，下降2.56%。其中：公务用车购置费0.00元，较上年增加0.00元，增长0%；公务用车运行维护费38,000.00元，较上年减少1,000.00元，下降2.56%。共计购置公务用车0辆，年末公务用车保有量为1辆。</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减少原因：严格落实中央八项规定及其实施细则精神，逐年压减公务用车购置及运行维护费支出。</w:t>
      </w:r>
    </w:p>
    <w:p>
      <w:pPr>
        <w:keepNext w:val="0"/>
        <w:keepLines w:val="0"/>
        <w:widowControl/>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b w:val="0"/>
          <w:bCs w:val="0"/>
          <w:sz w:val="32"/>
          <w:lang w:val="en-US" w:eastAsia="zh-CN"/>
        </w:rPr>
      </w:pPr>
      <w:r>
        <w:rPr>
          <w:rFonts w:hint="eastAsia" w:ascii="方正黑体_GBK" w:hAnsi="方正黑体_GBK" w:eastAsia="方正黑体_GBK" w:cs="方正黑体_GBK"/>
          <w:b w:val="0"/>
          <w:bCs w:val="0"/>
          <w:sz w:val="32"/>
          <w:lang w:val="en-US" w:eastAsia="zh-CN"/>
        </w:rPr>
        <w:t>八、重点项目预算绩效目标情况</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（一）社会保险待遇社会化发放及管理专项资金</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推动企业职工养老保险参保扩面提质增效,确保各项社保待遇调整和发放按时足额到位，提高公共服务水平，个人权益信息告知率达到100%，社会保险待遇发放率达到100%，全面加强经办能力建设，提升社保经办队伍业务能力，组织专业培训，继续加强窗口作风建设，开展专项检查工作，提升群众满意度。</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（二）综合柜员制劳务外包项目</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适应综合柜员制的需要，为参保单位和人员提供全网式、全流程、无差别的方便快捷服务，通过第三方引入一批服务意识强、具备一定专业知识和沟通能力的人员，充实社保一线经办队伍，推动业务经办高集约化，打造“一窗口、全链条”经办服务，全面实现“前台综合受理、后台分类审批、综合窗口出件”的经办新格局，让群众“少排队”“少跑路”，不断提升办事群众的满意度和幸福感。</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（三）省级部门职业年金记实资金</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按照云政发〔2015〕75号、云政办发〔2016〕47号文件精神，进一步优化我省机关事业单位职业年金征缴工作流程，完善各部门协作机制。财政部门直接将资金纳入年度同级社保经办机构预算，由省社保局完成省级财政全额拨款单位职工职业年金记实补记工作，确保职业年金待遇及时足额发放到位。</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（四）企业养老保险补助资金</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落实企业职工养老保险全国统筹实施方案中财政补助资金缺口分担机制，保险足额发放率100%，保险按时发放率100%，全年接访次数下降率20%以上，离退休干部满意率90%以上。</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（五）机关事业单位养老保险待遇补助资金</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确保省本级机关事业离退休人员按时足额领取待遇，社保待遇足额发放率达到100%，按时发放率达到90%以上。</w:t>
      </w:r>
    </w:p>
    <w:p>
      <w:pPr>
        <w:keepNext w:val="0"/>
        <w:keepLines w:val="0"/>
        <w:kinsoku/>
        <w:wordWrap/>
        <w:overflowPunct/>
        <w:topLinePunct w:val="0"/>
        <w:autoSpaceDE/>
        <w:autoSpaceDN/>
        <w:bidi w:val="0"/>
        <w:adjustRightInd/>
        <w:snapToGrid/>
        <w:spacing w:line="600" w:lineRule="exact"/>
        <w:textAlignment w:val="auto"/>
        <w:rPr>
          <w:rFonts w:ascii="黑体" w:hAnsi="黑体" w:eastAsia="黑体"/>
          <w:b w:val="0"/>
          <w:bCs w:val="0"/>
          <w:sz w:val="32"/>
        </w:rPr>
      </w:pPr>
      <w:r>
        <w:rPr>
          <w:rFonts w:hint="eastAsia" w:ascii="黑体" w:hAnsi="黑体" w:eastAsia="黑体"/>
          <w:b w:val="0"/>
          <w:bCs w:val="0"/>
          <w:sz w:val="32"/>
        </w:rPr>
        <w:t>九、其他公开信息</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（一）专业名词解释</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经济科目：指政府支出按经济性质和具体用途所作的一种分类科目，具体设类、款两级。</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功能科目：指政府支出按其主要职能活动所作的一种分类科目，主要反映政府活动的不同功能和政策目标，具体设类、款、项三级。</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一般公共预算：对以税收为主体的财政收入，安排用于保障和改善民生、推动经济社会发展、维护国家安全、维持国家机构正常运转等方面的收支预算。</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社会保险转移接续：是指个人跨统筹地区就业的，其基本养老保险和医疗保险关系随本人转移，缴费年限累计计算，基本养老保险个人账户储存额和医疗保险个人账户结余资金随之转移，基本养老保险同时转移规定比例的统筹基金。职工跨统筹地区就业的，其失业保险关系随本人转移，缴费年限累计计算。</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（二）机关运行经费安排变化情况及原因说明</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云南省社会保险局部门2025年机关运行经费安排3,030,143.42元，与上年对比增加42,175.91元，增长1.41%，主要原因分析：2024年省社保局因公开招录、遴选、轮岗、调入增加职工人数，公用经费安排增加。</w:t>
      </w:r>
    </w:p>
    <w:p>
      <w:pPr>
        <w:keepNext w:val="0"/>
        <w:keepLines w:val="0"/>
        <w:kinsoku/>
        <w:wordWrap/>
        <w:overflowPunct/>
        <w:topLinePunct w:val="0"/>
        <w:autoSpaceDE/>
        <w:autoSpaceDN/>
        <w:bidi w:val="0"/>
        <w:adjustRightInd/>
        <w:snapToGrid/>
        <w:spacing w:line="600" w:lineRule="exact"/>
        <w:textAlignment w:val="auto"/>
        <w:rPr>
          <w:rFonts w:hint="eastAsia" w:ascii="方正楷体_GBK" w:hAnsi="方正楷体_GBK" w:eastAsia="方正楷体_GBK" w:cs="方正楷体_GBK"/>
          <w:b w:val="0"/>
          <w:bCs w:val="0"/>
          <w:sz w:val="32"/>
        </w:rPr>
      </w:pPr>
      <w:r>
        <w:rPr>
          <w:rFonts w:hint="eastAsia" w:ascii="方正楷体_GBK" w:hAnsi="方正楷体_GBK" w:eastAsia="方正楷体_GBK" w:cs="方正楷体_GBK"/>
          <w:b w:val="0"/>
          <w:bCs w:val="0"/>
          <w:sz w:val="32"/>
        </w:rPr>
        <w:t>（三）国有资产占有使用情况</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宋体" w:hAnsi="宋体" w:eastAsia="方正仿宋_GBK" w:cs="宋体"/>
          <w:b w:val="0"/>
          <w:bCs w:val="0"/>
          <w:sz w:val="32"/>
          <w:szCs w:val="30"/>
          <w:lang w:val="en-US" w:eastAsia="zh-CN"/>
        </w:rPr>
      </w:pPr>
      <w:r>
        <w:rPr>
          <w:rFonts w:hint="eastAsia" w:ascii="宋体" w:hAnsi="宋体" w:eastAsia="方正仿宋_GBK" w:cs="宋体"/>
          <w:b w:val="0"/>
          <w:bCs w:val="0"/>
          <w:sz w:val="32"/>
          <w:szCs w:val="30"/>
          <w:lang w:val="en-US" w:eastAsia="zh-CN"/>
        </w:rPr>
        <w:t>截至2024年12月31日，云南省社会保险局部门资产总额6,247,400.85元，其中，流动资产222,792.92元，固定资产2,227,732.72元，对外投资及有价证券0.00元，在建工程0.00元，无形资产3,796,875.21元，其他资产0.00元。与上年相比，本年资产总额减少782,100.44元，其中固定资产减少560,304.95元。处置房屋建筑物0.0平方米，账面原值0.0元；处置车辆1辆，账面原值369,060.00元；报废报损资产1批，账面原值624,138.95元，实现资产处置收入3,070.00元；资产使用收入0.00元，其中出租资产0.00平方米，资产出租收入0.00元。鉴于截至2024年12月31日的国有资产占有使用精准数据，需在完成2024年决算编制后才能汇总，此处公开为2025年1</w:t>
      </w:r>
      <w:bookmarkStart w:id="0" w:name="_GoBack"/>
      <w:bookmarkEnd w:id="0"/>
      <w:r>
        <w:rPr>
          <w:rFonts w:hint="eastAsia" w:ascii="宋体" w:hAnsi="宋体" w:eastAsia="方正仿宋_GBK" w:cs="宋体"/>
          <w:b w:val="0"/>
          <w:bCs w:val="0"/>
          <w:sz w:val="32"/>
          <w:szCs w:val="30"/>
          <w:lang w:val="en-US" w:eastAsia="zh-CN"/>
        </w:rPr>
        <w:t>月资产月报数。</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7"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4D"/>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宋体"/>
    <w:panose1 w:val="00000000000000000000"/>
    <w:charset w:val="4D"/>
    <w:family w:val="roman"/>
    <w:pitch w:val="default"/>
    <w:sig w:usb0="00000000" w:usb1="00000000" w:usb2="00000010"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iYmVmZjI0MTY0ZjZjNmNmMWE3NTg3Njc4NzJiNzgifQ=="/>
  </w:docVars>
  <w:rsids>
    <w:rsidRoot w:val="00A17130"/>
    <w:rsid w:val="00001B1A"/>
    <w:rsid w:val="00001F68"/>
    <w:rsid w:val="000046A6"/>
    <w:rsid w:val="00012221"/>
    <w:rsid w:val="00013DC9"/>
    <w:rsid w:val="000165D3"/>
    <w:rsid w:val="000200B8"/>
    <w:rsid w:val="00023713"/>
    <w:rsid w:val="000277A8"/>
    <w:rsid w:val="000344CC"/>
    <w:rsid w:val="00034AE2"/>
    <w:rsid w:val="00037493"/>
    <w:rsid w:val="000407B7"/>
    <w:rsid w:val="000433D2"/>
    <w:rsid w:val="00045FF0"/>
    <w:rsid w:val="00051CBE"/>
    <w:rsid w:val="00063E95"/>
    <w:rsid w:val="00064228"/>
    <w:rsid w:val="00071546"/>
    <w:rsid w:val="000715D7"/>
    <w:rsid w:val="0007302A"/>
    <w:rsid w:val="0007392A"/>
    <w:rsid w:val="000777CA"/>
    <w:rsid w:val="00084A7D"/>
    <w:rsid w:val="00087A68"/>
    <w:rsid w:val="00092459"/>
    <w:rsid w:val="00096A3B"/>
    <w:rsid w:val="000A2F61"/>
    <w:rsid w:val="000B34EF"/>
    <w:rsid w:val="000C3655"/>
    <w:rsid w:val="000C67A8"/>
    <w:rsid w:val="000C7956"/>
    <w:rsid w:val="000E1C88"/>
    <w:rsid w:val="000E1DF1"/>
    <w:rsid w:val="000E64B8"/>
    <w:rsid w:val="000F6A93"/>
    <w:rsid w:val="000F7289"/>
    <w:rsid w:val="00105AD6"/>
    <w:rsid w:val="00106279"/>
    <w:rsid w:val="00113338"/>
    <w:rsid w:val="00116451"/>
    <w:rsid w:val="00116976"/>
    <w:rsid w:val="001321E2"/>
    <w:rsid w:val="00137C9E"/>
    <w:rsid w:val="0014424A"/>
    <w:rsid w:val="00145247"/>
    <w:rsid w:val="00150CA3"/>
    <w:rsid w:val="0015711A"/>
    <w:rsid w:val="00160258"/>
    <w:rsid w:val="00163A09"/>
    <w:rsid w:val="00165A37"/>
    <w:rsid w:val="00167827"/>
    <w:rsid w:val="00176506"/>
    <w:rsid w:val="001843E0"/>
    <w:rsid w:val="001868AF"/>
    <w:rsid w:val="00193216"/>
    <w:rsid w:val="00196193"/>
    <w:rsid w:val="001A6118"/>
    <w:rsid w:val="001B0A39"/>
    <w:rsid w:val="001B221B"/>
    <w:rsid w:val="001B33A0"/>
    <w:rsid w:val="001B3E61"/>
    <w:rsid w:val="001B5617"/>
    <w:rsid w:val="001C5C0A"/>
    <w:rsid w:val="001D7397"/>
    <w:rsid w:val="001E0242"/>
    <w:rsid w:val="001E5000"/>
    <w:rsid w:val="001F3E3B"/>
    <w:rsid w:val="00212BE3"/>
    <w:rsid w:val="00213EA4"/>
    <w:rsid w:val="00220045"/>
    <w:rsid w:val="0022222B"/>
    <w:rsid w:val="00222686"/>
    <w:rsid w:val="00225D50"/>
    <w:rsid w:val="002309CE"/>
    <w:rsid w:val="0023359D"/>
    <w:rsid w:val="00233BDE"/>
    <w:rsid w:val="00240AF8"/>
    <w:rsid w:val="00252354"/>
    <w:rsid w:val="0026158B"/>
    <w:rsid w:val="00263117"/>
    <w:rsid w:val="00282328"/>
    <w:rsid w:val="00283965"/>
    <w:rsid w:val="0028462B"/>
    <w:rsid w:val="002905B5"/>
    <w:rsid w:val="0029292C"/>
    <w:rsid w:val="002954FD"/>
    <w:rsid w:val="002A4BB4"/>
    <w:rsid w:val="002B074E"/>
    <w:rsid w:val="002C30AB"/>
    <w:rsid w:val="002C5493"/>
    <w:rsid w:val="002D1602"/>
    <w:rsid w:val="002D33F9"/>
    <w:rsid w:val="002D5162"/>
    <w:rsid w:val="002D6B7D"/>
    <w:rsid w:val="002E64F7"/>
    <w:rsid w:val="002E77CC"/>
    <w:rsid w:val="002F0B7B"/>
    <w:rsid w:val="002F11A7"/>
    <w:rsid w:val="002F1CE4"/>
    <w:rsid w:val="002F6F35"/>
    <w:rsid w:val="002F7E28"/>
    <w:rsid w:val="003045F0"/>
    <w:rsid w:val="00313865"/>
    <w:rsid w:val="00316430"/>
    <w:rsid w:val="003540C3"/>
    <w:rsid w:val="0035477B"/>
    <w:rsid w:val="003579D4"/>
    <w:rsid w:val="00364524"/>
    <w:rsid w:val="0036690F"/>
    <w:rsid w:val="00373E72"/>
    <w:rsid w:val="003802C2"/>
    <w:rsid w:val="003862A6"/>
    <w:rsid w:val="00390542"/>
    <w:rsid w:val="003A19AE"/>
    <w:rsid w:val="003A263C"/>
    <w:rsid w:val="003A4F10"/>
    <w:rsid w:val="003A6310"/>
    <w:rsid w:val="003B0A78"/>
    <w:rsid w:val="003B3D3B"/>
    <w:rsid w:val="003B4A6A"/>
    <w:rsid w:val="003C0887"/>
    <w:rsid w:val="003C1B27"/>
    <w:rsid w:val="003C421F"/>
    <w:rsid w:val="003D5D38"/>
    <w:rsid w:val="003D645C"/>
    <w:rsid w:val="003E100C"/>
    <w:rsid w:val="003E15A5"/>
    <w:rsid w:val="003F0B6B"/>
    <w:rsid w:val="003F4B13"/>
    <w:rsid w:val="00403FC8"/>
    <w:rsid w:val="004046CD"/>
    <w:rsid w:val="00405787"/>
    <w:rsid w:val="00405C76"/>
    <w:rsid w:val="00405D73"/>
    <w:rsid w:val="0041229A"/>
    <w:rsid w:val="004200BB"/>
    <w:rsid w:val="004314C8"/>
    <w:rsid w:val="00433290"/>
    <w:rsid w:val="004333B9"/>
    <w:rsid w:val="0044457F"/>
    <w:rsid w:val="00457140"/>
    <w:rsid w:val="00467D6D"/>
    <w:rsid w:val="00472165"/>
    <w:rsid w:val="004766C9"/>
    <w:rsid w:val="00477B16"/>
    <w:rsid w:val="00484830"/>
    <w:rsid w:val="00484D17"/>
    <w:rsid w:val="00490B98"/>
    <w:rsid w:val="00492A5A"/>
    <w:rsid w:val="004A096D"/>
    <w:rsid w:val="004A6013"/>
    <w:rsid w:val="004B02D0"/>
    <w:rsid w:val="004B7D85"/>
    <w:rsid w:val="004C15E4"/>
    <w:rsid w:val="004C6568"/>
    <w:rsid w:val="004C7458"/>
    <w:rsid w:val="004D0E67"/>
    <w:rsid w:val="004D6ABF"/>
    <w:rsid w:val="004E1070"/>
    <w:rsid w:val="004E18B8"/>
    <w:rsid w:val="004E1FA1"/>
    <w:rsid w:val="004E34F1"/>
    <w:rsid w:val="004E36B9"/>
    <w:rsid w:val="004E4731"/>
    <w:rsid w:val="004F3349"/>
    <w:rsid w:val="004F3489"/>
    <w:rsid w:val="004F37A6"/>
    <w:rsid w:val="004F3C37"/>
    <w:rsid w:val="004F6766"/>
    <w:rsid w:val="00501009"/>
    <w:rsid w:val="00511288"/>
    <w:rsid w:val="005134CB"/>
    <w:rsid w:val="00514C73"/>
    <w:rsid w:val="005215BD"/>
    <w:rsid w:val="005218FF"/>
    <w:rsid w:val="00521D9B"/>
    <w:rsid w:val="00521FB3"/>
    <w:rsid w:val="00540F22"/>
    <w:rsid w:val="00545974"/>
    <w:rsid w:val="00546FB6"/>
    <w:rsid w:val="00547077"/>
    <w:rsid w:val="00547D15"/>
    <w:rsid w:val="00551DEB"/>
    <w:rsid w:val="005523EE"/>
    <w:rsid w:val="00555CB9"/>
    <w:rsid w:val="00557A2F"/>
    <w:rsid w:val="005725D2"/>
    <w:rsid w:val="00574DD7"/>
    <w:rsid w:val="00575F83"/>
    <w:rsid w:val="00587753"/>
    <w:rsid w:val="00590AC7"/>
    <w:rsid w:val="00592681"/>
    <w:rsid w:val="005929C1"/>
    <w:rsid w:val="005A3399"/>
    <w:rsid w:val="005B00D0"/>
    <w:rsid w:val="005B76FE"/>
    <w:rsid w:val="005C2F3E"/>
    <w:rsid w:val="005D418B"/>
    <w:rsid w:val="005D6482"/>
    <w:rsid w:val="005D6B70"/>
    <w:rsid w:val="005E2F85"/>
    <w:rsid w:val="005F57D9"/>
    <w:rsid w:val="005F6BD6"/>
    <w:rsid w:val="00603095"/>
    <w:rsid w:val="0060386B"/>
    <w:rsid w:val="00611236"/>
    <w:rsid w:val="00611946"/>
    <w:rsid w:val="006209EE"/>
    <w:rsid w:val="00635BEA"/>
    <w:rsid w:val="00640454"/>
    <w:rsid w:val="00644ADC"/>
    <w:rsid w:val="0064519B"/>
    <w:rsid w:val="006504A6"/>
    <w:rsid w:val="00653467"/>
    <w:rsid w:val="00660B2B"/>
    <w:rsid w:val="0067301E"/>
    <w:rsid w:val="00673550"/>
    <w:rsid w:val="00697E5C"/>
    <w:rsid w:val="006A12D4"/>
    <w:rsid w:val="006A3549"/>
    <w:rsid w:val="006A7882"/>
    <w:rsid w:val="006B1E3A"/>
    <w:rsid w:val="006B47BC"/>
    <w:rsid w:val="006C0EBF"/>
    <w:rsid w:val="006C2836"/>
    <w:rsid w:val="006C443A"/>
    <w:rsid w:val="006C48BC"/>
    <w:rsid w:val="006E3530"/>
    <w:rsid w:val="006F57C5"/>
    <w:rsid w:val="0070158F"/>
    <w:rsid w:val="00705A92"/>
    <w:rsid w:val="007072ED"/>
    <w:rsid w:val="00721205"/>
    <w:rsid w:val="00730978"/>
    <w:rsid w:val="007407FD"/>
    <w:rsid w:val="00751AD6"/>
    <w:rsid w:val="00753764"/>
    <w:rsid w:val="00755A51"/>
    <w:rsid w:val="00760596"/>
    <w:rsid w:val="007714B4"/>
    <w:rsid w:val="00771F7E"/>
    <w:rsid w:val="00773B78"/>
    <w:rsid w:val="00785CDE"/>
    <w:rsid w:val="007861AB"/>
    <w:rsid w:val="007904E0"/>
    <w:rsid w:val="007B7B94"/>
    <w:rsid w:val="007C1577"/>
    <w:rsid w:val="007D0D38"/>
    <w:rsid w:val="007D282C"/>
    <w:rsid w:val="007D340E"/>
    <w:rsid w:val="007D370E"/>
    <w:rsid w:val="007E5A16"/>
    <w:rsid w:val="007F45A7"/>
    <w:rsid w:val="007F67C5"/>
    <w:rsid w:val="007F6839"/>
    <w:rsid w:val="007F741F"/>
    <w:rsid w:val="00801E51"/>
    <w:rsid w:val="00806000"/>
    <w:rsid w:val="00806053"/>
    <w:rsid w:val="00806FEE"/>
    <w:rsid w:val="008129B9"/>
    <w:rsid w:val="0082265D"/>
    <w:rsid w:val="008240C3"/>
    <w:rsid w:val="00834A1D"/>
    <w:rsid w:val="00834EA8"/>
    <w:rsid w:val="00836CBA"/>
    <w:rsid w:val="008448E8"/>
    <w:rsid w:val="008515C1"/>
    <w:rsid w:val="00851C5B"/>
    <w:rsid w:val="00854545"/>
    <w:rsid w:val="008559FB"/>
    <w:rsid w:val="008713F3"/>
    <w:rsid w:val="008724AC"/>
    <w:rsid w:val="00872D77"/>
    <w:rsid w:val="008770B1"/>
    <w:rsid w:val="00877DA5"/>
    <w:rsid w:val="00880D49"/>
    <w:rsid w:val="00886DEA"/>
    <w:rsid w:val="00887A52"/>
    <w:rsid w:val="00895BA5"/>
    <w:rsid w:val="008A0D1E"/>
    <w:rsid w:val="008A4D94"/>
    <w:rsid w:val="008A6261"/>
    <w:rsid w:val="008B09A3"/>
    <w:rsid w:val="008B1680"/>
    <w:rsid w:val="008B2490"/>
    <w:rsid w:val="008B27FE"/>
    <w:rsid w:val="008C255B"/>
    <w:rsid w:val="008C2D97"/>
    <w:rsid w:val="008D265D"/>
    <w:rsid w:val="008D30BB"/>
    <w:rsid w:val="008D534C"/>
    <w:rsid w:val="008F3999"/>
    <w:rsid w:val="008F62A6"/>
    <w:rsid w:val="00900D48"/>
    <w:rsid w:val="00902FAA"/>
    <w:rsid w:val="0090306A"/>
    <w:rsid w:val="00903450"/>
    <w:rsid w:val="00903640"/>
    <w:rsid w:val="00903E7D"/>
    <w:rsid w:val="009046C6"/>
    <w:rsid w:val="00910BAE"/>
    <w:rsid w:val="0091232D"/>
    <w:rsid w:val="00915923"/>
    <w:rsid w:val="00916F86"/>
    <w:rsid w:val="00921E03"/>
    <w:rsid w:val="0092204D"/>
    <w:rsid w:val="00924A22"/>
    <w:rsid w:val="00926702"/>
    <w:rsid w:val="00927EE2"/>
    <w:rsid w:val="009371A1"/>
    <w:rsid w:val="009376A9"/>
    <w:rsid w:val="00943614"/>
    <w:rsid w:val="00943DED"/>
    <w:rsid w:val="00955D4C"/>
    <w:rsid w:val="00960D63"/>
    <w:rsid w:val="00962BA2"/>
    <w:rsid w:val="0096593B"/>
    <w:rsid w:val="00966DDE"/>
    <w:rsid w:val="0096763F"/>
    <w:rsid w:val="00975DE5"/>
    <w:rsid w:val="00977B93"/>
    <w:rsid w:val="0098190A"/>
    <w:rsid w:val="00985823"/>
    <w:rsid w:val="00987485"/>
    <w:rsid w:val="00991A31"/>
    <w:rsid w:val="009935F3"/>
    <w:rsid w:val="009A46EC"/>
    <w:rsid w:val="009A53BF"/>
    <w:rsid w:val="009A7CAB"/>
    <w:rsid w:val="009B21FF"/>
    <w:rsid w:val="009D5F63"/>
    <w:rsid w:val="009E0502"/>
    <w:rsid w:val="009E0B30"/>
    <w:rsid w:val="009F3C13"/>
    <w:rsid w:val="009F6AEC"/>
    <w:rsid w:val="00A0238B"/>
    <w:rsid w:val="00A14164"/>
    <w:rsid w:val="00A14FDE"/>
    <w:rsid w:val="00A16FE7"/>
    <w:rsid w:val="00A17130"/>
    <w:rsid w:val="00A20ADF"/>
    <w:rsid w:val="00A24121"/>
    <w:rsid w:val="00A2698C"/>
    <w:rsid w:val="00A27880"/>
    <w:rsid w:val="00A348B2"/>
    <w:rsid w:val="00A41D96"/>
    <w:rsid w:val="00A43070"/>
    <w:rsid w:val="00A44BEC"/>
    <w:rsid w:val="00A451F0"/>
    <w:rsid w:val="00A52B90"/>
    <w:rsid w:val="00A5342A"/>
    <w:rsid w:val="00A53ED8"/>
    <w:rsid w:val="00A63B74"/>
    <w:rsid w:val="00A64A75"/>
    <w:rsid w:val="00A66324"/>
    <w:rsid w:val="00A716CA"/>
    <w:rsid w:val="00A71FE8"/>
    <w:rsid w:val="00A7271A"/>
    <w:rsid w:val="00A738E3"/>
    <w:rsid w:val="00A77675"/>
    <w:rsid w:val="00A778CC"/>
    <w:rsid w:val="00A77F04"/>
    <w:rsid w:val="00A93D0B"/>
    <w:rsid w:val="00A951C6"/>
    <w:rsid w:val="00A955BC"/>
    <w:rsid w:val="00AA2F1C"/>
    <w:rsid w:val="00AA405C"/>
    <w:rsid w:val="00AA4718"/>
    <w:rsid w:val="00AA7874"/>
    <w:rsid w:val="00AB0DE2"/>
    <w:rsid w:val="00AB42D1"/>
    <w:rsid w:val="00AC023E"/>
    <w:rsid w:val="00AC1282"/>
    <w:rsid w:val="00AD33EE"/>
    <w:rsid w:val="00AD3ABB"/>
    <w:rsid w:val="00AE15FF"/>
    <w:rsid w:val="00AF1DDE"/>
    <w:rsid w:val="00AF2B9F"/>
    <w:rsid w:val="00AF615B"/>
    <w:rsid w:val="00B126C9"/>
    <w:rsid w:val="00B13005"/>
    <w:rsid w:val="00B17EEB"/>
    <w:rsid w:val="00B237F1"/>
    <w:rsid w:val="00B33768"/>
    <w:rsid w:val="00B40149"/>
    <w:rsid w:val="00B440D7"/>
    <w:rsid w:val="00B44953"/>
    <w:rsid w:val="00B51A49"/>
    <w:rsid w:val="00B57F6C"/>
    <w:rsid w:val="00B601ED"/>
    <w:rsid w:val="00B60EB8"/>
    <w:rsid w:val="00B6137F"/>
    <w:rsid w:val="00B61CD1"/>
    <w:rsid w:val="00B62529"/>
    <w:rsid w:val="00B67DB5"/>
    <w:rsid w:val="00B7035C"/>
    <w:rsid w:val="00B7207D"/>
    <w:rsid w:val="00B810E4"/>
    <w:rsid w:val="00B84EDD"/>
    <w:rsid w:val="00B84FAA"/>
    <w:rsid w:val="00B862BB"/>
    <w:rsid w:val="00B86A76"/>
    <w:rsid w:val="00B96AA5"/>
    <w:rsid w:val="00B97425"/>
    <w:rsid w:val="00BA4EDC"/>
    <w:rsid w:val="00BA7AAA"/>
    <w:rsid w:val="00BB1586"/>
    <w:rsid w:val="00BB4BAB"/>
    <w:rsid w:val="00BB6FB4"/>
    <w:rsid w:val="00BC1446"/>
    <w:rsid w:val="00BC3B98"/>
    <w:rsid w:val="00BC6220"/>
    <w:rsid w:val="00BC69D5"/>
    <w:rsid w:val="00BD02FF"/>
    <w:rsid w:val="00BD2D4B"/>
    <w:rsid w:val="00C02C9D"/>
    <w:rsid w:val="00C04F41"/>
    <w:rsid w:val="00C051F1"/>
    <w:rsid w:val="00C06B1B"/>
    <w:rsid w:val="00C07E40"/>
    <w:rsid w:val="00C13313"/>
    <w:rsid w:val="00C142BE"/>
    <w:rsid w:val="00C14E48"/>
    <w:rsid w:val="00C234D1"/>
    <w:rsid w:val="00C23F59"/>
    <w:rsid w:val="00C24359"/>
    <w:rsid w:val="00C24F56"/>
    <w:rsid w:val="00C30479"/>
    <w:rsid w:val="00C316DD"/>
    <w:rsid w:val="00C32A66"/>
    <w:rsid w:val="00C37418"/>
    <w:rsid w:val="00C43BFA"/>
    <w:rsid w:val="00C51CBF"/>
    <w:rsid w:val="00C52E4F"/>
    <w:rsid w:val="00C53C24"/>
    <w:rsid w:val="00C55381"/>
    <w:rsid w:val="00C62200"/>
    <w:rsid w:val="00C649AF"/>
    <w:rsid w:val="00C71F84"/>
    <w:rsid w:val="00C7457F"/>
    <w:rsid w:val="00C77C1B"/>
    <w:rsid w:val="00C839E3"/>
    <w:rsid w:val="00C86B77"/>
    <w:rsid w:val="00C950DC"/>
    <w:rsid w:val="00C97789"/>
    <w:rsid w:val="00CA32CD"/>
    <w:rsid w:val="00CB334F"/>
    <w:rsid w:val="00CC312C"/>
    <w:rsid w:val="00CC6708"/>
    <w:rsid w:val="00CD3552"/>
    <w:rsid w:val="00CE281C"/>
    <w:rsid w:val="00CE2890"/>
    <w:rsid w:val="00CE375B"/>
    <w:rsid w:val="00CE4071"/>
    <w:rsid w:val="00CF2D9B"/>
    <w:rsid w:val="00CF4346"/>
    <w:rsid w:val="00CF69DF"/>
    <w:rsid w:val="00D00EDC"/>
    <w:rsid w:val="00D0313D"/>
    <w:rsid w:val="00D05161"/>
    <w:rsid w:val="00D06BE8"/>
    <w:rsid w:val="00D12661"/>
    <w:rsid w:val="00D12AED"/>
    <w:rsid w:val="00D2448A"/>
    <w:rsid w:val="00D25DD4"/>
    <w:rsid w:val="00D26E84"/>
    <w:rsid w:val="00D312FC"/>
    <w:rsid w:val="00D31981"/>
    <w:rsid w:val="00D42EAE"/>
    <w:rsid w:val="00D4493F"/>
    <w:rsid w:val="00D54D2E"/>
    <w:rsid w:val="00D6000A"/>
    <w:rsid w:val="00D6281D"/>
    <w:rsid w:val="00D65F2A"/>
    <w:rsid w:val="00D6768F"/>
    <w:rsid w:val="00D70356"/>
    <w:rsid w:val="00D73060"/>
    <w:rsid w:val="00D74722"/>
    <w:rsid w:val="00D75E9C"/>
    <w:rsid w:val="00D92D76"/>
    <w:rsid w:val="00D933A4"/>
    <w:rsid w:val="00D94DCB"/>
    <w:rsid w:val="00D96CEC"/>
    <w:rsid w:val="00DB2C5D"/>
    <w:rsid w:val="00DB492E"/>
    <w:rsid w:val="00DB4B50"/>
    <w:rsid w:val="00DD1BD8"/>
    <w:rsid w:val="00DD221F"/>
    <w:rsid w:val="00DD325E"/>
    <w:rsid w:val="00DE30E7"/>
    <w:rsid w:val="00DE4ECE"/>
    <w:rsid w:val="00DF122E"/>
    <w:rsid w:val="00E13764"/>
    <w:rsid w:val="00E15645"/>
    <w:rsid w:val="00E17A8E"/>
    <w:rsid w:val="00E244FC"/>
    <w:rsid w:val="00E24624"/>
    <w:rsid w:val="00E26860"/>
    <w:rsid w:val="00E27207"/>
    <w:rsid w:val="00E34909"/>
    <w:rsid w:val="00E37ABB"/>
    <w:rsid w:val="00E45113"/>
    <w:rsid w:val="00E50D4D"/>
    <w:rsid w:val="00E557F2"/>
    <w:rsid w:val="00E5580C"/>
    <w:rsid w:val="00E60600"/>
    <w:rsid w:val="00E6242B"/>
    <w:rsid w:val="00E63DB4"/>
    <w:rsid w:val="00E66B2E"/>
    <w:rsid w:val="00E7300B"/>
    <w:rsid w:val="00E84B71"/>
    <w:rsid w:val="00E85685"/>
    <w:rsid w:val="00E865E2"/>
    <w:rsid w:val="00E917CC"/>
    <w:rsid w:val="00E94045"/>
    <w:rsid w:val="00E9507F"/>
    <w:rsid w:val="00E953AD"/>
    <w:rsid w:val="00E9597C"/>
    <w:rsid w:val="00EA2BFD"/>
    <w:rsid w:val="00EA649A"/>
    <w:rsid w:val="00EB4DB2"/>
    <w:rsid w:val="00EB688C"/>
    <w:rsid w:val="00EC374A"/>
    <w:rsid w:val="00EE3B26"/>
    <w:rsid w:val="00EE5381"/>
    <w:rsid w:val="00EE713E"/>
    <w:rsid w:val="00EF3FDA"/>
    <w:rsid w:val="00EF511D"/>
    <w:rsid w:val="00F05066"/>
    <w:rsid w:val="00F07232"/>
    <w:rsid w:val="00F07330"/>
    <w:rsid w:val="00F20859"/>
    <w:rsid w:val="00F20E84"/>
    <w:rsid w:val="00F24EA6"/>
    <w:rsid w:val="00F27041"/>
    <w:rsid w:val="00F42040"/>
    <w:rsid w:val="00F44F07"/>
    <w:rsid w:val="00F45197"/>
    <w:rsid w:val="00F47AF0"/>
    <w:rsid w:val="00F5079F"/>
    <w:rsid w:val="00F52A11"/>
    <w:rsid w:val="00F5506E"/>
    <w:rsid w:val="00F56E24"/>
    <w:rsid w:val="00F73D30"/>
    <w:rsid w:val="00F73F97"/>
    <w:rsid w:val="00F80308"/>
    <w:rsid w:val="00F84E20"/>
    <w:rsid w:val="00F87D3B"/>
    <w:rsid w:val="00F937EF"/>
    <w:rsid w:val="00F93AB5"/>
    <w:rsid w:val="00FA3D69"/>
    <w:rsid w:val="00FA480F"/>
    <w:rsid w:val="00FB54E2"/>
    <w:rsid w:val="00FC0012"/>
    <w:rsid w:val="00FC0E42"/>
    <w:rsid w:val="00FC1623"/>
    <w:rsid w:val="00FD1925"/>
    <w:rsid w:val="00FD1F85"/>
    <w:rsid w:val="00FD2703"/>
    <w:rsid w:val="00FD5AEF"/>
    <w:rsid w:val="00FD750D"/>
    <w:rsid w:val="00FE4A88"/>
    <w:rsid w:val="00FF4461"/>
    <w:rsid w:val="00FF6759"/>
    <w:rsid w:val="01981D96"/>
    <w:rsid w:val="029F7154"/>
    <w:rsid w:val="02F456F2"/>
    <w:rsid w:val="04B862AB"/>
    <w:rsid w:val="06DE2BA7"/>
    <w:rsid w:val="073065CD"/>
    <w:rsid w:val="073836D3"/>
    <w:rsid w:val="075B5D40"/>
    <w:rsid w:val="07702E6D"/>
    <w:rsid w:val="08E90232"/>
    <w:rsid w:val="09EA6F07"/>
    <w:rsid w:val="0BAB6B6A"/>
    <w:rsid w:val="0CF14A50"/>
    <w:rsid w:val="0D5648B3"/>
    <w:rsid w:val="0D8713A0"/>
    <w:rsid w:val="0DA466A2"/>
    <w:rsid w:val="0DA60287"/>
    <w:rsid w:val="0DCA6A96"/>
    <w:rsid w:val="0DD028B8"/>
    <w:rsid w:val="0DF02F5A"/>
    <w:rsid w:val="0DF5439D"/>
    <w:rsid w:val="0E010CC3"/>
    <w:rsid w:val="0E8D69FB"/>
    <w:rsid w:val="0EBD066F"/>
    <w:rsid w:val="0F865924"/>
    <w:rsid w:val="0F9022FF"/>
    <w:rsid w:val="11643A43"/>
    <w:rsid w:val="11856C88"/>
    <w:rsid w:val="11964747"/>
    <w:rsid w:val="11E44B84"/>
    <w:rsid w:val="11EF0BEB"/>
    <w:rsid w:val="13471B9F"/>
    <w:rsid w:val="134C29E0"/>
    <w:rsid w:val="135D2E40"/>
    <w:rsid w:val="13996A54"/>
    <w:rsid w:val="13CC1D73"/>
    <w:rsid w:val="14192060"/>
    <w:rsid w:val="14731F34"/>
    <w:rsid w:val="14A71073"/>
    <w:rsid w:val="151524AC"/>
    <w:rsid w:val="1546362C"/>
    <w:rsid w:val="16027CCE"/>
    <w:rsid w:val="16B14B4F"/>
    <w:rsid w:val="16C15D36"/>
    <w:rsid w:val="16EE1A6A"/>
    <w:rsid w:val="187E2872"/>
    <w:rsid w:val="18F5247C"/>
    <w:rsid w:val="1C9373BD"/>
    <w:rsid w:val="1D1D0F4A"/>
    <w:rsid w:val="1D7D62C3"/>
    <w:rsid w:val="1E7B4D73"/>
    <w:rsid w:val="1EBB0A1A"/>
    <w:rsid w:val="1F462ADC"/>
    <w:rsid w:val="1FB817C9"/>
    <w:rsid w:val="20EF2BFD"/>
    <w:rsid w:val="21E134AC"/>
    <w:rsid w:val="22925F36"/>
    <w:rsid w:val="231177A3"/>
    <w:rsid w:val="232057F5"/>
    <w:rsid w:val="24003A9F"/>
    <w:rsid w:val="24D46CDA"/>
    <w:rsid w:val="24FE4843"/>
    <w:rsid w:val="25493047"/>
    <w:rsid w:val="255B7B35"/>
    <w:rsid w:val="26972F43"/>
    <w:rsid w:val="27455C6D"/>
    <w:rsid w:val="278F0E5E"/>
    <w:rsid w:val="289F315B"/>
    <w:rsid w:val="28D0604B"/>
    <w:rsid w:val="2AB92AF5"/>
    <w:rsid w:val="2ACD0453"/>
    <w:rsid w:val="2BF21FFB"/>
    <w:rsid w:val="2C864D5D"/>
    <w:rsid w:val="2C9946DB"/>
    <w:rsid w:val="2CA67438"/>
    <w:rsid w:val="2CFF241A"/>
    <w:rsid w:val="2D2325AC"/>
    <w:rsid w:val="2D2F779D"/>
    <w:rsid w:val="2FE54245"/>
    <w:rsid w:val="30550CCF"/>
    <w:rsid w:val="3155096C"/>
    <w:rsid w:val="31D67BED"/>
    <w:rsid w:val="3293788C"/>
    <w:rsid w:val="32A530C3"/>
    <w:rsid w:val="335A1D71"/>
    <w:rsid w:val="35677F80"/>
    <w:rsid w:val="35E13004"/>
    <w:rsid w:val="36783969"/>
    <w:rsid w:val="36AC565D"/>
    <w:rsid w:val="36B22D87"/>
    <w:rsid w:val="375A6BCB"/>
    <w:rsid w:val="37F6E544"/>
    <w:rsid w:val="38353194"/>
    <w:rsid w:val="3882287D"/>
    <w:rsid w:val="388F0AF6"/>
    <w:rsid w:val="3A667F7C"/>
    <w:rsid w:val="3A6F5EF1"/>
    <w:rsid w:val="3A7149CC"/>
    <w:rsid w:val="3A9240FF"/>
    <w:rsid w:val="3AB31D65"/>
    <w:rsid w:val="3BD73D62"/>
    <w:rsid w:val="3BEB0739"/>
    <w:rsid w:val="3C3E03A3"/>
    <w:rsid w:val="3CE41DAC"/>
    <w:rsid w:val="3CE97620"/>
    <w:rsid w:val="3D772A37"/>
    <w:rsid w:val="3D8175A7"/>
    <w:rsid w:val="3E5500EC"/>
    <w:rsid w:val="3E934BC1"/>
    <w:rsid w:val="3EA03A5D"/>
    <w:rsid w:val="3F367F1D"/>
    <w:rsid w:val="3FF552BF"/>
    <w:rsid w:val="40721429"/>
    <w:rsid w:val="414508EB"/>
    <w:rsid w:val="42CB6BCE"/>
    <w:rsid w:val="439671DC"/>
    <w:rsid w:val="43D2457E"/>
    <w:rsid w:val="452B1519"/>
    <w:rsid w:val="45927E77"/>
    <w:rsid w:val="472D60AA"/>
    <w:rsid w:val="486A6E89"/>
    <w:rsid w:val="48934632"/>
    <w:rsid w:val="48B85E47"/>
    <w:rsid w:val="4A370FED"/>
    <w:rsid w:val="4BB91051"/>
    <w:rsid w:val="4BDA418E"/>
    <w:rsid w:val="4BF2341E"/>
    <w:rsid w:val="4C4F0C97"/>
    <w:rsid w:val="4C7B3DFC"/>
    <w:rsid w:val="4D403526"/>
    <w:rsid w:val="4E40453B"/>
    <w:rsid w:val="4EB33338"/>
    <w:rsid w:val="4EF179BD"/>
    <w:rsid w:val="4F626B0C"/>
    <w:rsid w:val="500C2A05"/>
    <w:rsid w:val="50131B41"/>
    <w:rsid w:val="50A52454"/>
    <w:rsid w:val="50ED2406"/>
    <w:rsid w:val="51134562"/>
    <w:rsid w:val="51534120"/>
    <w:rsid w:val="51801046"/>
    <w:rsid w:val="51DF2696"/>
    <w:rsid w:val="52212DFE"/>
    <w:rsid w:val="52D970E6"/>
    <w:rsid w:val="538E5D9A"/>
    <w:rsid w:val="5402266C"/>
    <w:rsid w:val="553920BD"/>
    <w:rsid w:val="56620606"/>
    <w:rsid w:val="59511312"/>
    <w:rsid w:val="5A764921"/>
    <w:rsid w:val="5A9B522E"/>
    <w:rsid w:val="5AF34ABD"/>
    <w:rsid w:val="5B0A24EF"/>
    <w:rsid w:val="5BE663CF"/>
    <w:rsid w:val="5C25339C"/>
    <w:rsid w:val="5C545A2F"/>
    <w:rsid w:val="5C7349C4"/>
    <w:rsid w:val="5D483164"/>
    <w:rsid w:val="5F103E8F"/>
    <w:rsid w:val="5FEC48FC"/>
    <w:rsid w:val="607E304A"/>
    <w:rsid w:val="60B53DB7"/>
    <w:rsid w:val="60E3786E"/>
    <w:rsid w:val="6169353E"/>
    <w:rsid w:val="61A710F3"/>
    <w:rsid w:val="624D0825"/>
    <w:rsid w:val="6263077A"/>
    <w:rsid w:val="6314473B"/>
    <w:rsid w:val="63256689"/>
    <w:rsid w:val="635E7280"/>
    <w:rsid w:val="63690012"/>
    <w:rsid w:val="63707479"/>
    <w:rsid w:val="63A22262"/>
    <w:rsid w:val="641937E6"/>
    <w:rsid w:val="6481138B"/>
    <w:rsid w:val="648B3FB8"/>
    <w:rsid w:val="651E623F"/>
    <w:rsid w:val="67534A49"/>
    <w:rsid w:val="684B418A"/>
    <w:rsid w:val="68907DEF"/>
    <w:rsid w:val="68AC22E0"/>
    <w:rsid w:val="68E569E2"/>
    <w:rsid w:val="6BD91AAD"/>
    <w:rsid w:val="6D1A3B54"/>
    <w:rsid w:val="6E0732BA"/>
    <w:rsid w:val="705574B6"/>
    <w:rsid w:val="70621441"/>
    <w:rsid w:val="71245578"/>
    <w:rsid w:val="714D31A3"/>
    <w:rsid w:val="721775DF"/>
    <w:rsid w:val="72EA439B"/>
    <w:rsid w:val="73467A28"/>
    <w:rsid w:val="736B3932"/>
    <w:rsid w:val="73734141"/>
    <w:rsid w:val="73B01345"/>
    <w:rsid w:val="74C2787E"/>
    <w:rsid w:val="766F7295"/>
    <w:rsid w:val="7715608F"/>
    <w:rsid w:val="77CE623E"/>
    <w:rsid w:val="78170157"/>
    <w:rsid w:val="7AD044D2"/>
    <w:rsid w:val="7CB65D44"/>
    <w:rsid w:val="7DBB1012"/>
    <w:rsid w:val="7F203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640" w:firstLineChars="200"/>
    </w:pPr>
    <w:rPr>
      <w:rFonts w:ascii="仿宋_GB2312" w:eastAsia="仿宋_GB2312" w:hAnsiTheme="minorHAnsi" w:cstheme="minorBidi"/>
      <w:sz w:val="32"/>
      <w:szCs w:val="32"/>
      <w:lang w:val="en-US" w:eastAsia="zh-CN" w:bidi="ar-SA"/>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style>
  <w:style w:type="paragraph" w:styleId="3">
    <w:name w:val="Normal Indent"/>
    <w:basedOn w:val="1"/>
    <w:unhideWhenUsed/>
    <w:qFormat/>
    <w:uiPriority w:val="0"/>
    <w:pPr>
      <w:ind w:firstLine="200"/>
    </w:pPr>
    <w:rPr>
      <w:rFonts w:ascii="??" w:hAnsi="??" w:eastAsia="宋体" w:cs="Times New Roman"/>
      <w:sz w:val="28"/>
      <w:szCs w:val="24"/>
    </w:rPr>
  </w:style>
  <w:style w:type="paragraph" w:styleId="4">
    <w:name w:val="annotation text"/>
    <w:basedOn w:val="1"/>
    <w:link w:val="17"/>
    <w:unhideWhenUsed/>
    <w:qFormat/>
    <w:uiPriority w:val="0"/>
  </w:style>
  <w:style w:type="paragraph" w:styleId="5">
    <w:name w:val="Balloon Text"/>
    <w:basedOn w:val="1"/>
    <w:link w:val="16"/>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8"/>
    <w:unhideWhenUsed/>
    <w:qFormat/>
    <w:uiPriority w:val="99"/>
    <w:rPr>
      <w:b/>
      <w:bCs/>
    </w:rPr>
  </w:style>
  <w:style w:type="character" w:styleId="11">
    <w:name w:val="annotation reference"/>
    <w:basedOn w:val="10"/>
    <w:unhideWhenUsed/>
    <w:qFormat/>
    <w:uiPriority w:val="0"/>
    <w:rPr>
      <w:sz w:val="21"/>
      <w:szCs w:val="21"/>
    </w:rPr>
  </w:style>
  <w:style w:type="paragraph" w:customStyle="1" w:styleId="12">
    <w:name w:val="正文-公1"/>
    <w:basedOn w:val="13"/>
    <w:next w:val="1"/>
    <w:qFormat/>
    <w:uiPriority w:val="0"/>
    <w:pPr>
      <w:ind w:firstLine="200" w:firstLineChars="200"/>
    </w:p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2"/>
    <w:qFormat/>
    <w:uiPriority w:val="0"/>
    <w:pPr>
      <w:widowControl w:val="0"/>
      <w:jc w:val="both"/>
    </w:pPr>
    <w:rPr>
      <w:rFonts w:ascii="Times New Roman" w:hAnsi="Times New Roman" w:eastAsia="宋体" w:cs="Times New Roman"/>
      <w:kern w:val="2"/>
      <w:sz w:val="21"/>
      <w:lang w:val="en-US" w:eastAsia="zh-CN"/>
    </w:rPr>
  </w:style>
  <w:style w:type="character" w:customStyle="1" w:styleId="14">
    <w:name w:val="页眉 字符"/>
    <w:basedOn w:val="10"/>
    <w:link w:val="7"/>
    <w:qFormat/>
    <w:uiPriority w:val="99"/>
    <w:rPr>
      <w:sz w:val="18"/>
      <w:szCs w:val="18"/>
    </w:rPr>
  </w:style>
  <w:style w:type="character" w:customStyle="1" w:styleId="15">
    <w:name w:val="页脚 字符"/>
    <w:basedOn w:val="10"/>
    <w:link w:val="6"/>
    <w:qFormat/>
    <w:uiPriority w:val="99"/>
    <w:rPr>
      <w:sz w:val="18"/>
      <w:szCs w:val="18"/>
    </w:rPr>
  </w:style>
  <w:style w:type="character" w:customStyle="1" w:styleId="16">
    <w:name w:val="批注框文本 字符"/>
    <w:basedOn w:val="10"/>
    <w:link w:val="5"/>
    <w:semiHidden/>
    <w:qFormat/>
    <w:uiPriority w:val="99"/>
    <w:rPr>
      <w:sz w:val="18"/>
      <w:szCs w:val="18"/>
    </w:rPr>
  </w:style>
  <w:style w:type="character" w:customStyle="1" w:styleId="17">
    <w:name w:val="批注文字 字符"/>
    <w:basedOn w:val="10"/>
    <w:link w:val="4"/>
    <w:qFormat/>
    <w:uiPriority w:val="0"/>
    <w:rPr>
      <w:rFonts w:asciiTheme="minorHAnsi" w:hAnsiTheme="minorHAnsi" w:eastAsiaTheme="minorEastAsia" w:cstheme="minorBidi"/>
      <w:kern w:val="2"/>
      <w:sz w:val="21"/>
      <w:szCs w:val="22"/>
    </w:rPr>
  </w:style>
  <w:style w:type="character" w:customStyle="1" w:styleId="18">
    <w:name w:val="批注主题 字符"/>
    <w:basedOn w:val="17"/>
    <w:link w:val="8"/>
    <w:semiHidden/>
    <w:qFormat/>
    <w:uiPriority w:val="99"/>
    <w:rPr>
      <w:rFonts w:asciiTheme="minorHAnsi" w:hAnsiTheme="minorHAnsi" w:eastAsiaTheme="minorEastAsia" w:cstheme="minorBidi"/>
      <w:b/>
      <w:bCs/>
      <w:kern w:val="2"/>
      <w:sz w:val="21"/>
      <w:szCs w:val="22"/>
    </w:rPr>
  </w:style>
  <w:style w:type="paragraph" w:customStyle="1" w:styleId="19">
    <w:name w:val="List Paragraph"/>
    <w:basedOn w:val="1"/>
    <w:qFormat/>
    <w:uiPriority w:val="99"/>
    <w:pPr>
      <w:ind w:firstLine="420"/>
    </w:pPr>
  </w:style>
  <w:style w:type="paragraph" w:customStyle="1" w:styleId="20">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13</Pages>
  <Words>2132</Words>
  <Characters>3063</Characters>
  <Lines>38</Lines>
  <Paragraphs>10</Paragraphs>
  <TotalTime>75</TotalTime>
  <ScaleCrop>false</ScaleCrop>
  <LinksUpToDate>false</LinksUpToDate>
  <CharactersWithSpaces>3071</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2019-11-15T16:07:00Z</dcterms:created>
  <dc:creator>lqb</dc:creator>
  <cp:lastModifiedBy>kylin</cp:lastModifiedBy>
  <cp:lastPrinted>2025-02-06T09:22:00Z</cp:lastPrinted>
  <dcterms:modified xsi:type="dcterms:W3CDTF">2025-02-07T16:14:58Z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20645780F79A4B63BC15FECB958E94B5_13</vt:lpwstr>
  </property>
  <property fmtid="{D5CDD505-2E9C-101B-9397-08002B2CF9AE}" pid="4" name="KSOTemplateDocerSaveRecord">
    <vt:lpwstr>eyJoZGlkIjoiZjM0NjAxYjM1M2NjMmEwODRmMjZhMmJhMGY5NDNhYmMiLCJ1c2VySWQiOiIxNjY0NzQ3NDAwIn0=</vt:lpwstr>
  </property>
</Properties>
</file>