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eastAsia" w:ascii="宋体" w:hAnsi="宋体" w:eastAsia="方正小标宋_GBK" w:cs="方正小标宋_GBK"/>
          <w:sz w:val="44"/>
          <w:szCs w:val="44"/>
          <w:lang w:eastAsia="zh-CN"/>
        </w:rPr>
      </w:pPr>
    </w:p>
    <w:p>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eastAsia" w:ascii="宋体" w:hAnsi="宋体" w:eastAsia="方正小标宋_GBK" w:cs="方正小标宋_GBK"/>
          <w:sz w:val="44"/>
          <w:szCs w:val="44"/>
          <w:lang w:eastAsia="zh-CN"/>
        </w:rPr>
      </w:pPr>
      <w:r>
        <w:rPr>
          <w:rFonts w:hint="eastAsia" w:ascii="宋体" w:hAnsi="宋体" w:eastAsia="方正小标宋_GBK" w:cs="方正小标宋_GBK"/>
          <w:sz w:val="44"/>
          <w:szCs w:val="44"/>
          <w:lang w:eastAsia="zh-CN"/>
        </w:rPr>
        <w:t>《云南省就业援助工作实施细则（试行）》</w:t>
      </w:r>
    </w:p>
    <w:p>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eastAsia" w:ascii="宋体" w:hAnsi="宋体" w:eastAsia="方正小标宋_GBK" w:cs="方正小标宋_GBK"/>
          <w:sz w:val="44"/>
          <w:szCs w:val="44"/>
          <w:lang w:eastAsia="zh-CN"/>
        </w:rPr>
      </w:pPr>
      <w:r>
        <w:rPr>
          <w:rFonts w:hint="eastAsia" w:ascii="宋体" w:hAnsi="宋体" w:eastAsia="方正小标宋_GBK" w:cs="方正小标宋_GBK"/>
          <w:sz w:val="44"/>
          <w:szCs w:val="44"/>
          <w:lang w:eastAsia="zh-CN"/>
        </w:rPr>
        <w:t>《云南省城镇公益性岗位管理暂行规定》</w:t>
      </w:r>
    </w:p>
    <w:p>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eastAsia" w:ascii="宋体" w:hAnsi="宋体" w:eastAsia="方正小标宋_GBK" w:cs="方正小标宋_GBK"/>
          <w:sz w:val="44"/>
          <w:szCs w:val="44"/>
          <w:lang w:eastAsia="zh-CN"/>
        </w:rPr>
      </w:pPr>
      <w:r>
        <w:rPr>
          <w:rFonts w:hint="eastAsia" w:ascii="宋体" w:hAnsi="宋体" w:eastAsia="方正小标宋_GBK" w:cs="方正小标宋_GBK"/>
          <w:sz w:val="44"/>
          <w:szCs w:val="44"/>
          <w:lang w:eastAsia="zh-CN"/>
        </w:rPr>
        <w:t>起草</w:t>
      </w:r>
      <w:r>
        <w:rPr>
          <w:rFonts w:hint="eastAsia" w:ascii="宋体" w:hAnsi="宋体" w:eastAsia="方正小标宋_GBK" w:cs="方正小标宋_GBK"/>
          <w:sz w:val="44"/>
          <w:szCs w:val="44"/>
          <w:lang w:val="en-US" w:eastAsia="zh-CN"/>
        </w:rPr>
        <w:t>说明</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center"/>
        <w:textAlignment w:val="auto"/>
        <w:rPr>
          <w:rFonts w:hint="eastAsia" w:ascii="宋体" w:hAnsi="宋体" w:eastAsia="方正仿宋_GBK" w:cs="方正仿宋_GBK"/>
          <w:sz w:val="32"/>
          <w:szCs w:val="32"/>
          <w:lang w:val="en-US" w:eastAsia="zh-CN"/>
        </w:rPr>
      </w:pPr>
    </w:p>
    <w:p>
      <w:pPr>
        <w:keepNext w:val="0"/>
        <w:keepLines w:val="0"/>
        <w:pageBreakBefore w:val="0"/>
        <w:widowControl w:val="0"/>
        <w:numPr>
          <w:ilvl w:val="0"/>
          <w:numId w:val="1"/>
        </w:numPr>
        <w:kinsoku/>
        <w:wordWrap/>
        <w:overflowPunct/>
        <w:topLinePunct/>
        <w:autoSpaceDE/>
        <w:autoSpaceDN/>
        <w:bidi w:val="0"/>
        <w:adjustRightInd/>
        <w:snapToGrid/>
        <w:spacing w:line="600" w:lineRule="exact"/>
        <w:ind w:firstLine="640" w:firstLineChars="200"/>
        <w:jc w:val="both"/>
        <w:textAlignment w:val="auto"/>
        <w:rPr>
          <w:rFonts w:hint="eastAsia" w:ascii="宋体" w:hAnsi="宋体" w:eastAsia="方正黑体_GBK" w:cs="方正黑体_GBK"/>
          <w:sz w:val="32"/>
          <w:szCs w:val="32"/>
          <w:lang w:eastAsia="zh-CN"/>
        </w:rPr>
      </w:pPr>
      <w:r>
        <w:rPr>
          <w:rFonts w:hint="eastAsia" w:ascii="宋体" w:hAnsi="宋体" w:eastAsia="方正黑体_GBK" w:cs="方正黑体_GBK"/>
          <w:sz w:val="32"/>
          <w:szCs w:val="32"/>
          <w:lang w:eastAsia="zh-CN"/>
        </w:rPr>
        <w:t>起草背景及过程</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jc w:val="both"/>
        <w:textAlignment w:val="auto"/>
        <w:rPr>
          <w:rFonts w:hint="eastAsia" w:ascii="宋体" w:hAnsi="宋体" w:eastAsia="方正仿宋_GBK" w:cs="宋体"/>
          <w:sz w:val="32"/>
          <w:szCs w:val="32"/>
          <w:lang w:val="en-US" w:eastAsia="zh-CN"/>
        </w:rPr>
      </w:pPr>
      <w:r>
        <w:rPr>
          <w:rFonts w:hint="eastAsia" w:ascii="宋体" w:hAnsi="宋体" w:eastAsia="方正仿宋_GBK" w:cs="方正仿宋_GBK"/>
          <w:color w:val="auto"/>
          <w:sz w:val="32"/>
          <w:szCs w:val="32"/>
          <w:highlight w:val="none"/>
          <w:lang w:val="en-US" w:eastAsia="zh-CN"/>
        </w:rPr>
        <w:t>根据国家</w:t>
      </w:r>
      <w:r>
        <w:rPr>
          <w:rFonts w:hint="eastAsia" w:ascii="宋体" w:hAnsi="宋体" w:eastAsia="方正仿宋_GBK" w:cs="宋体"/>
          <w:sz w:val="32"/>
          <w:szCs w:val="32"/>
          <w:lang w:val="en-US" w:eastAsia="zh-CN"/>
        </w:rPr>
        <w:t>关于</w:t>
      </w:r>
      <w:r>
        <w:rPr>
          <w:rFonts w:hint="eastAsia" w:ascii="宋体" w:hAnsi="宋体" w:eastAsia="方正仿宋_GBK" w:cs="宋体"/>
          <w:sz w:val="32"/>
          <w:szCs w:val="32"/>
          <w:lang w:eastAsia="zh-CN"/>
        </w:rPr>
        <w:t>加强就业援助工作的指导意见</w:t>
      </w:r>
      <w:r>
        <w:rPr>
          <w:rFonts w:hint="eastAsia" w:ascii="宋体" w:hAnsi="宋体" w:eastAsia="方正仿宋_GBK" w:cs="宋体"/>
          <w:sz w:val="32"/>
          <w:szCs w:val="32"/>
          <w:lang w:val="en-US" w:eastAsia="zh-CN"/>
        </w:rPr>
        <w:t>和</w:t>
      </w:r>
      <w:r>
        <w:rPr>
          <w:rFonts w:hint="eastAsia" w:ascii="宋体" w:hAnsi="宋体" w:eastAsia="方正仿宋_GBK" w:cs="方正仿宋_GBK"/>
          <w:color w:val="auto"/>
          <w:sz w:val="32"/>
          <w:szCs w:val="32"/>
          <w:highlight w:val="none"/>
          <w:lang w:val="en-US" w:eastAsia="zh-CN"/>
        </w:rPr>
        <w:t>人社部</w:t>
      </w:r>
      <w:r>
        <w:rPr>
          <w:rFonts w:hint="default" w:ascii="宋体" w:hAnsi="宋体" w:eastAsia="方正仿宋_GBK" w:cs="方正仿宋_GBK"/>
          <w:color w:val="auto"/>
          <w:sz w:val="32"/>
          <w:szCs w:val="32"/>
          <w:highlight w:val="none"/>
          <w:lang w:val="en-US" w:eastAsia="zh-CN"/>
        </w:rPr>
        <w:t>、</w:t>
      </w:r>
      <w:r>
        <w:rPr>
          <w:rFonts w:hint="eastAsia" w:ascii="宋体" w:hAnsi="宋体" w:eastAsia="方正仿宋_GBK" w:cs="方正仿宋_GBK"/>
          <w:color w:val="auto"/>
          <w:sz w:val="32"/>
          <w:szCs w:val="32"/>
          <w:highlight w:val="none"/>
          <w:lang w:val="en-US" w:eastAsia="zh-CN"/>
        </w:rPr>
        <w:t>财政部</w:t>
      </w:r>
      <w:r>
        <w:rPr>
          <w:rFonts w:hint="eastAsia" w:ascii="宋体" w:hAnsi="宋体" w:eastAsia="方正仿宋_GBK" w:cs="宋体"/>
          <w:sz w:val="32"/>
          <w:szCs w:val="32"/>
          <w:lang w:eastAsia="zh-CN"/>
        </w:rPr>
        <w:t>关于做好公益性岗位开发管理有关工作的通知等相关文件要求</w:t>
      </w:r>
      <w:r>
        <w:rPr>
          <w:rFonts w:hint="eastAsia" w:ascii="宋体" w:hAnsi="宋体" w:eastAsia="方正仿宋_GBK" w:cs="宋体"/>
          <w:sz w:val="32"/>
          <w:szCs w:val="32"/>
          <w:lang w:val="en-US" w:eastAsia="zh-CN"/>
        </w:rPr>
        <w:t>，结合我省实际，调整</w:t>
      </w:r>
      <w:r>
        <w:rPr>
          <w:rFonts w:hint="eastAsia" w:ascii="宋体" w:hAnsi="宋体" w:eastAsia="方正仿宋_GBK" w:cs="宋体"/>
          <w:sz w:val="32"/>
          <w:szCs w:val="32"/>
          <w:lang w:eastAsia="zh-CN"/>
        </w:rPr>
        <w:t>健全就业困难人员认定、分类援助及</w:t>
      </w:r>
      <w:r>
        <w:rPr>
          <w:rFonts w:hint="eastAsia" w:ascii="宋体" w:hAnsi="宋体" w:eastAsia="方正仿宋_GBK" w:cs="宋体"/>
          <w:sz w:val="32"/>
          <w:szCs w:val="32"/>
          <w:lang w:val="en-US" w:eastAsia="zh-CN"/>
        </w:rPr>
        <w:t>退出</w:t>
      </w:r>
      <w:r>
        <w:rPr>
          <w:rFonts w:hint="eastAsia" w:ascii="宋体" w:hAnsi="宋体" w:eastAsia="方正仿宋_GBK" w:cs="宋体"/>
          <w:sz w:val="32"/>
          <w:szCs w:val="32"/>
          <w:lang w:eastAsia="zh-CN"/>
        </w:rPr>
        <w:t>机制，</w:t>
      </w:r>
      <w:r>
        <w:rPr>
          <w:rFonts w:hint="eastAsia" w:ascii="宋体" w:hAnsi="宋体" w:eastAsia="方正仿宋_GBK" w:cs="宋体"/>
          <w:sz w:val="32"/>
          <w:szCs w:val="32"/>
          <w:lang w:val="en-US" w:eastAsia="zh-CN"/>
        </w:rPr>
        <w:t>规范城镇公益性岗位开发管理等就业援助措施，</w:t>
      </w:r>
      <w:r>
        <w:rPr>
          <w:rFonts w:hint="eastAsia" w:ascii="宋体" w:hAnsi="宋体" w:eastAsia="方正仿宋_GBK" w:cs="方正仿宋_GBK"/>
          <w:color w:val="auto"/>
          <w:sz w:val="32"/>
          <w:szCs w:val="32"/>
          <w:highlight w:val="none"/>
          <w:lang w:val="en-US" w:eastAsia="zh-CN"/>
        </w:rPr>
        <w:t>在政策梳理、调研摸底、分析研判、形成初稿的基础上，</w:t>
      </w:r>
      <w:r>
        <w:rPr>
          <w:rFonts w:hint="eastAsia" w:ascii="宋体" w:hAnsi="宋体" w:eastAsia="方正仿宋_GBK" w:cs="宋体"/>
          <w:sz w:val="32"/>
          <w:szCs w:val="32"/>
          <w:lang w:val="en-US" w:eastAsia="zh-CN"/>
        </w:rPr>
        <w:t>对全省16个州（市）开展常规性就业援助工作及城镇公益性岗位开发管理进行了函询，邀请8个州（市）人社部门现场座谈讨论，广泛征求省委编委、省财政厅、省民政厅、省残联等厅外单位和厅职业能力建设处、厅劳动关系处、省社会保险局、省就业局等</w:t>
      </w:r>
      <w:r>
        <w:rPr>
          <w:rFonts w:hint="eastAsia" w:ascii="宋体" w:hAnsi="宋体" w:eastAsia="方正仿宋_GBK" w:cs="方正仿宋_GBK"/>
          <w:color w:val="auto"/>
          <w:sz w:val="32"/>
          <w:szCs w:val="32"/>
          <w:highlight w:val="none"/>
          <w:lang w:val="en-US" w:eastAsia="zh-CN"/>
        </w:rPr>
        <w:t>厅内部门意见，提请人力资源社会保障部就业促进司指导完善，形成了《云南省就业援助工作实施细则（试行）（征求意见稿）》《云南省城镇公益性岗位管理暂行规定（征求意见稿）》</w:t>
      </w:r>
      <w:r>
        <w:rPr>
          <w:rFonts w:hint="eastAsia" w:ascii="宋体" w:hAnsi="宋体" w:eastAsia="方正仿宋_GBK" w:cs="宋体"/>
          <w:sz w:val="32"/>
          <w:szCs w:val="32"/>
          <w:lang w:val="en-US" w:eastAsia="zh-CN"/>
        </w:rPr>
        <w:t>。</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jc w:val="both"/>
        <w:textAlignment w:val="auto"/>
        <w:rPr>
          <w:rFonts w:hint="eastAsia" w:ascii="宋体" w:hAnsi="宋体" w:eastAsia="方正黑体_GBK" w:cs="方正黑体_GBK"/>
          <w:kern w:val="2"/>
          <w:sz w:val="32"/>
          <w:szCs w:val="32"/>
          <w:lang w:val="en-US" w:eastAsia="zh-CN" w:bidi="ar-SA"/>
        </w:rPr>
      </w:pPr>
      <w:r>
        <w:rPr>
          <w:rFonts w:hint="eastAsia" w:ascii="宋体" w:hAnsi="宋体" w:eastAsia="方正黑体_GBK" w:cs="方正黑体_GBK"/>
          <w:kern w:val="2"/>
          <w:sz w:val="32"/>
          <w:szCs w:val="32"/>
          <w:lang w:val="en-US" w:eastAsia="zh-CN" w:bidi="ar-SA"/>
        </w:rPr>
        <w:t>二、主要内容及创新突破</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600" w:lineRule="exact"/>
        <w:ind w:firstLine="640" w:firstLineChars="200"/>
        <w:jc w:val="both"/>
        <w:textAlignment w:val="auto"/>
        <w:rPr>
          <w:rFonts w:hint="eastAsia" w:ascii="宋体" w:hAnsi="宋体" w:eastAsia="方正楷体_GBK" w:cs="方正楷体_GBK"/>
          <w:kern w:val="2"/>
          <w:sz w:val="32"/>
          <w:szCs w:val="32"/>
          <w:lang w:val="en-US" w:eastAsia="zh-CN" w:bidi="ar-SA"/>
        </w:rPr>
      </w:pPr>
      <w:r>
        <w:rPr>
          <w:rFonts w:hint="eastAsia" w:ascii="宋体" w:hAnsi="宋体" w:eastAsia="方正楷体_GBK" w:cs="方正楷体_GBK"/>
          <w:kern w:val="2"/>
          <w:sz w:val="32"/>
          <w:szCs w:val="32"/>
          <w:lang w:val="en-US" w:eastAsia="zh-CN" w:bidi="ar-SA"/>
        </w:rPr>
        <w:t>（一）就业援助工作实施细则主要内容及创新突破</w:t>
      </w:r>
    </w:p>
    <w:p>
      <w:pPr>
        <w:keepNext w:val="0"/>
        <w:keepLines w:val="0"/>
        <w:pageBreakBefore w:val="0"/>
        <w:widowControl w:val="0"/>
        <w:kinsoku/>
        <w:wordWrap/>
        <w:overflowPunct w:val="0"/>
        <w:topLinePunct/>
        <w:autoSpaceDE/>
        <w:autoSpaceDN/>
        <w:bidi w:val="0"/>
        <w:adjustRightInd/>
        <w:snapToGrid/>
        <w:spacing w:line="600" w:lineRule="exact"/>
        <w:ind w:leftChars="0" w:firstLine="640" w:firstLineChars="200"/>
        <w:jc w:val="both"/>
        <w:textAlignment w:val="auto"/>
        <w:rPr>
          <w:rFonts w:hint="default" w:ascii="宋体" w:hAnsi="宋体" w:eastAsia="方正仿宋_GBK" w:cs="方正仿宋_GBK"/>
          <w:sz w:val="32"/>
          <w:szCs w:val="32"/>
          <w:lang w:val="en-US" w:eastAsia="zh-CN"/>
        </w:rPr>
      </w:pPr>
      <w:r>
        <w:rPr>
          <w:rFonts w:hint="eastAsia" w:ascii="宋体" w:hAnsi="宋体" w:eastAsia="方正仿宋_GBK" w:cs="宋体"/>
          <w:b w:val="0"/>
          <w:kern w:val="2"/>
          <w:sz w:val="32"/>
          <w:szCs w:val="32"/>
          <w:lang w:val="en-US" w:eastAsia="zh-CN" w:bidi="ar-SA"/>
        </w:rPr>
        <w:t>该实施细则共</w:t>
      </w:r>
      <w:r>
        <w:rPr>
          <w:rFonts w:hint="eastAsia" w:ascii="宋体" w:hAnsi="宋体" w:eastAsia="方正仿宋_GBK" w:cs="宋体"/>
          <w:b w:val="0"/>
          <w:color w:val="auto"/>
          <w:kern w:val="2"/>
          <w:sz w:val="32"/>
          <w:szCs w:val="32"/>
          <w:lang w:val="en-US" w:eastAsia="zh-CN" w:bidi="ar-SA"/>
        </w:rPr>
        <w:t>有</w:t>
      </w:r>
      <w:r>
        <w:rPr>
          <w:rFonts w:hint="eastAsia" w:ascii="宋体" w:hAnsi="宋体" w:eastAsia="方正仿宋_GBK" w:cs="宋体"/>
          <w:b w:val="0"/>
          <w:kern w:val="2"/>
          <w:sz w:val="32"/>
          <w:szCs w:val="32"/>
          <w:lang w:val="en-US" w:eastAsia="zh-CN" w:bidi="ar-SA"/>
        </w:rPr>
        <w:t>6章27条。从就业援助对象类别</w:t>
      </w:r>
      <w:r>
        <w:rPr>
          <w:rFonts w:hint="eastAsia" w:ascii="宋体" w:hAnsi="宋体" w:eastAsia="方正仿宋_GBK" w:cs="宋体"/>
          <w:b w:val="0"/>
          <w:color w:val="auto"/>
          <w:kern w:val="2"/>
          <w:sz w:val="32"/>
          <w:szCs w:val="32"/>
          <w:lang w:val="en-US" w:eastAsia="zh-CN" w:bidi="ar-SA"/>
        </w:rPr>
        <w:t>的划分</w:t>
      </w:r>
      <w:r>
        <w:rPr>
          <w:rFonts w:hint="eastAsia" w:ascii="宋体" w:hAnsi="宋体" w:eastAsia="方正仿宋_GBK" w:cs="宋体"/>
          <w:b w:val="0"/>
          <w:kern w:val="2"/>
          <w:sz w:val="32"/>
          <w:szCs w:val="32"/>
          <w:lang w:val="en-US" w:eastAsia="zh-CN" w:bidi="ar-SA"/>
        </w:rPr>
        <w:t>，就业援助对象认定、退出条件</w:t>
      </w:r>
      <w:r>
        <w:rPr>
          <w:rFonts w:hint="eastAsia" w:ascii="宋体" w:hAnsi="宋体" w:eastAsia="方正仿宋_GBK" w:cs="宋体"/>
          <w:b w:val="0"/>
          <w:color w:val="auto"/>
          <w:kern w:val="2"/>
          <w:sz w:val="32"/>
          <w:szCs w:val="32"/>
          <w:lang w:val="en-US" w:eastAsia="zh-CN" w:bidi="ar-SA"/>
        </w:rPr>
        <w:t>的明确</w:t>
      </w:r>
      <w:r>
        <w:rPr>
          <w:rFonts w:hint="eastAsia" w:ascii="宋体" w:hAnsi="宋体" w:eastAsia="方正仿宋_GBK" w:cs="宋体"/>
          <w:b w:val="0"/>
          <w:kern w:val="2"/>
          <w:sz w:val="32"/>
          <w:szCs w:val="32"/>
          <w:lang w:val="en-US" w:eastAsia="zh-CN" w:bidi="ar-SA"/>
        </w:rPr>
        <w:t>，就业援助</w:t>
      </w:r>
      <w:r>
        <w:rPr>
          <w:rFonts w:hint="eastAsia" w:ascii="宋体" w:hAnsi="宋体" w:eastAsia="方正仿宋_GBK" w:cs="宋体"/>
          <w:b w:val="0"/>
          <w:color w:val="auto"/>
          <w:kern w:val="2"/>
          <w:sz w:val="32"/>
          <w:szCs w:val="32"/>
          <w:lang w:val="en-US" w:eastAsia="zh-CN" w:bidi="ar-SA"/>
        </w:rPr>
        <w:t>工作的具体实施</w:t>
      </w:r>
      <w:r>
        <w:rPr>
          <w:rFonts w:hint="eastAsia" w:ascii="宋体" w:hAnsi="宋体" w:eastAsia="方正仿宋_GBK" w:cs="宋体"/>
          <w:b w:val="0"/>
          <w:kern w:val="2"/>
          <w:sz w:val="32"/>
          <w:szCs w:val="32"/>
          <w:lang w:val="en-US" w:eastAsia="zh-CN" w:bidi="ar-SA"/>
        </w:rPr>
        <w:t>，就业援助工作的监管指导等4个方面</w:t>
      </w:r>
      <w:r>
        <w:rPr>
          <w:rFonts w:hint="eastAsia" w:ascii="宋体" w:hAnsi="宋体" w:eastAsia="方正仿宋_GBK" w:cs="宋体"/>
          <w:b w:val="0"/>
          <w:color w:val="auto"/>
          <w:kern w:val="2"/>
          <w:sz w:val="32"/>
          <w:szCs w:val="32"/>
          <w:lang w:val="en-US" w:eastAsia="zh-CN" w:bidi="ar-SA"/>
        </w:rPr>
        <w:t>进行了规范和</w:t>
      </w:r>
      <w:r>
        <w:rPr>
          <w:rFonts w:hint="eastAsia" w:ascii="宋体" w:hAnsi="宋体" w:eastAsia="方正仿宋_GBK" w:cs="宋体"/>
          <w:b w:val="0"/>
          <w:kern w:val="2"/>
          <w:sz w:val="32"/>
          <w:szCs w:val="32"/>
          <w:lang w:val="en-US" w:eastAsia="zh-CN" w:bidi="ar-SA"/>
        </w:rPr>
        <w:t>完善，</w:t>
      </w:r>
      <w:r>
        <w:rPr>
          <w:rFonts w:hint="eastAsia" w:ascii="宋体" w:hAnsi="宋体" w:eastAsia="方正仿宋_GBK" w:cs="宋体"/>
          <w:b w:val="0"/>
          <w:color w:val="auto"/>
          <w:kern w:val="2"/>
          <w:sz w:val="32"/>
          <w:szCs w:val="32"/>
          <w:lang w:val="en-US" w:eastAsia="zh-CN" w:bidi="ar-SA"/>
        </w:rPr>
        <w:t>解决了</w:t>
      </w:r>
      <w:r>
        <w:rPr>
          <w:rFonts w:hint="eastAsia" w:ascii="宋体" w:hAnsi="宋体" w:eastAsia="方正仿宋_GBK" w:cs="宋体"/>
          <w:b w:val="0"/>
          <w:kern w:val="2"/>
          <w:sz w:val="32"/>
          <w:szCs w:val="32"/>
          <w:lang w:val="en-US" w:eastAsia="zh-CN" w:bidi="ar-SA"/>
        </w:rPr>
        <w:t>各州（市）在开展就业困难人员援助工作中</w:t>
      </w:r>
      <w:r>
        <w:rPr>
          <w:rFonts w:hint="eastAsia" w:ascii="宋体" w:hAnsi="宋体" w:eastAsia="方正仿宋_GBK" w:cs="宋体"/>
          <w:b w:val="0"/>
          <w:color w:val="auto"/>
          <w:kern w:val="2"/>
          <w:sz w:val="32"/>
          <w:szCs w:val="32"/>
          <w:lang w:val="en-US" w:eastAsia="zh-CN" w:bidi="ar-SA"/>
        </w:rPr>
        <w:t>存在</w:t>
      </w:r>
      <w:r>
        <w:rPr>
          <w:rFonts w:hint="eastAsia" w:ascii="宋体" w:hAnsi="宋体" w:eastAsia="方正仿宋_GBK" w:cs="宋体"/>
          <w:b w:val="0"/>
          <w:kern w:val="2"/>
          <w:sz w:val="32"/>
          <w:szCs w:val="32"/>
          <w:lang w:val="en-US" w:eastAsia="zh-CN" w:bidi="ar-SA"/>
        </w:rPr>
        <w:t>的堵点、</w:t>
      </w:r>
      <w:r>
        <w:rPr>
          <w:rFonts w:hint="eastAsia" w:ascii="宋体" w:hAnsi="宋体" w:eastAsia="方正仿宋_GBK" w:cs="宋体"/>
          <w:b w:val="0"/>
          <w:color w:val="auto"/>
          <w:kern w:val="2"/>
          <w:sz w:val="32"/>
          <w:szCs w:val="32"/>
          <w:lang w:val="en-US" w:eastAsia="zh-CN" w:bidi="ar-SA"/>
        </w:rPr>
        <w:t>难点，从省级层面对就业困难人员认定范围进行了统一。在原有政策基础上，结合我省实际，将就业困难人员调整为7类人员，即进行了城镇登记失业的：</w:t>
      </w:r>
      <w:r>
        <w:rPr>
          <w:rFonts w:hint="eastAsia" w:ascii="宋体" w:hAnsi="宋体" w:eastAsia="方正仿宋_GBK" w:cs="方正仿宋_GBK"/>
          <w:color w:val="auto"/>
          <w:sz w:val="32"/>
          <w:szCs w:val="32"/>
          <w:lang w:val="en-US" w:eastAsia="zh-CN"/>
        </w:rPr>
        <w:t>1.零就业家庭成员；2.</w:t>
      </w:r>
      <w:r>
        <w:rPr>
          <w:rFonts w:hint="eastAsia" w:ascii="宋体" w:hAnsi="宋体" w:eastAsia="方正仿宋_GBK" w:cs="方正仿宋_GBK"/>
          <w:color w:val="auto"/>
          <w:sz w:val="32"/>
          <w:szCs w:val="32"/>
        </w:rPr>
        <w:t>享受</w:t>
      </w:r>
      <w:r>
        <w:rPr>
          <w:rFonts w:hint="eastAsia" w:ascii="宋体" w:hAnsi="宋体" w:eastAsia="方正仿宋_GBK" w:cs="方正仿宋_GBK"/>
          <w:color w:val="auto"/>
          <w:sz w:val="32"/>
          <w:szCs w:val="32"/>
          <w:lang w:eastAsia="zh-CN"/>
        </w:rPr>
        <w:t>城乡</w:t>
      </w:r>
      <w:r>
        <w:rPr>
          <w:rFonts w:hint="eastAsia" w:ascii="宋体" w:hAnsi="宋体" w:eastAsia="方正仿宋_GBK" w:cs="方正仿宋_GBK"/>
          <w:color w:val="auto"/>
          <w:sz w:val="32"/>
          <w:szCs w:val="32"/>
        </w:rPr>
        <w:t>居民最低生活保障人员</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3.</w:t>
      </w:r>
      <w:r>
        <w:rPr>
          <w:rFonts w:hint="eastAsia" w:ascii="宋体" w:hAnsi="宋体" w:eastAsia="方正仿宋_GBK" w:cs="方正仿宋_GBK"/>
          <w:color w:val="auto"/>
          <w:sz w:val="32"/>
          <w:szCs w:val="32"/>
        </w:rPr>
        <w:t>男年满50周岁和女年满40周岁以上的失业人员</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4.</w:t>
      </w:r>
      <w:r>
        <w:rPr>
          <w:rFonts w:hint="eastAsia" w:ascii="宋体" w:hAnsi="宋体" w:eastAsia="方正仿宋_GBK" w:cs="方正仿宋_GBK"/>
          <w:color w:val="auto"/>
          <w:sz w:val="32"/>
          <w:szCs w:val="32"/>
        </w:rPr>
        <w:t>有劳动能力的残疾人</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5.</w:t>
      </w:r>
      <w:r>
        <w:rPr>
          <w:rFonts w:hint="eastAsia" w:ascii="宋体" w:hAnsi="宋体" w:eastAsia="方正仿宋_GBK" w:cs="方正仿宋_GBK"/>
          <w:color w:val="auto"/>
          <w:sz w:val="32"/>
          <w:szCs w:val="32"/>
        </w:rPr>
        <w:t>连续失业</w:t>
      </w:r>
      <w:r>
        <w:rPr>
          <w:rFonts w:hint="eastAsia" w:ascii="宋体" w:hAnsi="宋体" w:eastAsia="方正仿宋_GBK" w:cs="方正仿宋_GBK"/>
          <w:color w:val="auto"/>
          <w:sz w:val="32"/>
          <w:szCs w:val="32"/>
          <w:lang w:val="en-US" w:eastAsia="zh-CN"/>
        </w:rPr>
        <w:t>1</w:t>
      </w:r>
      <w:r>
        <w:rPr>
          <w:rFonts w:hint="eastAsia" w:ascii="宋体" w:hAnsi="宋体" w:eastAsia="方正仿宋_GBK" w:cs="方正仿宋_GBK"/>
          <w:color w:val="auto"/>
          <w:sz w:val="32"/>
          <w:szCs w:val="32"/>
        </w:rPr>
        <w:t>年以上</w:t>
      </w:r>
      <w:r>
        <w:rPr>
          <w:rFonts w:hint="eastAsia" w:ascii="宋体" w:hAnsi="宋体" w:eastAsia="方正仿宋_GBK" w:cs="方正仿宋_GBK"/>
          <w:color w:val="auto"/>
          <w:sz w:val="32"/>
          <w:szCs w:val="32"/>
          <w:lang w:eastAsia="zh-CN"/>
        </w:rPr>
        <w:t>的长期失业</w:t>
      </w:r>
      <w:r>
        <w:rPr>
          <w:rFonts w:hint="eastAsia" w:ascii="宋体" w:hAnsi="宋体" w:eastAsia="方正仿宋_GBK" w:cs="方正仿宋_GBK"/>
          <w:color w:val="auto"/>
          <w:sz w:val="32"/>
          <w:szCs w:val="32"/>
        </w:rPr>
        <w:t>人员</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6.离校1年内持续6个月以上未就业高校毕业生</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kern w:val="2"/>
          <w:sz w:val="32"/>
          <w:szCs w:val="32"/>
          <w:lang w:val="en-US" w:eastAsia="zh-CN" w:bidi="ar-SA"/>
        </w:rPr>
        <w:t>7.被征地农民</w:t>
      </w:r>
      <w:r>
        <w:rPr>
          <w:rFonts w:hint="eastAsia" w:ascii="宋体" w:hAnsi="宋体" w:eastAsia="方正仿宋_GBK" w:cs="方正仿宋_GBK"/>
          <w:color w:val="auto"/>
          <w:sz w:val="32"/>
          <w:szCs w:val="32"/>
          <w:lang w:val="en-US" w:eastAsia="zh-CN"/>
        </w:rPr>
        <w:t>。根据就业促进法相关规定，以及国家关于就业困难高校毕业生就业帮扶要求，该实施细则将失地失业农民、离校1年内持续6个月以上未就业高校毕业生纳入就业困难人员认定范围，进一步提高了我省</w:t>
      </w:r>
      <w:r>
        <w:rPr>
          <w:rFonts w:hint="eastAsia" w:ascii="宋体" w:hAnsi="宋体" w:eastAsia="方正仿宋_GBK" w:cs="方正仿宋_GBK"/>
          <w:strike w:val="0"/>
          <w:dstrike w:val="0"/>
          <w:color w:val="auto"/>
          <w:sz w:val="32"/>
          <w:szCs w:val="32"/>
          <w:lang w:val="en-US" w:eastAsia="zh-CN"/>
        </w:rPr>
        <w:t>就业援助服务工作的</w:t>
      </w:r>
      <w:r>
        <w:rPr>
          <w:rFonts w:hint="eastAsia" w:ascii="宋体" w:hAnsi="宋体" w:eastAsia="方正仿宋_GBK" w:cs="方正仿宋_GBK"/>
          <w:color w:val="auto"/>
          <w:sz w:val="32"/>
          <w:szCs w:val="32"/>
          <w:lang w:val="en-US" w:eastAsia="zh-CN"/>
        </w:rPr>
        <w:t>针对性和完整性。同时，该实施细则明确了已实现就业、</w:t>
      </w:r>
      <w:r>
        <w:rPr>
          <w:rFonts w:hint="eastAsia" w:ascii="宋体" w:hAnsi="宋体" w:eastAsia="方正仿宋_GBK" w:cs="方正仿宋_GBK"/>
          <w:sz w:val="32"/>
          <w:szCs w:val="32"/>
          <w:lang w:val="en-US" w:eastAsia="zh-CN"/>
        </w:rPr>
        <w:t>主动撤销援助要求、不具备援助资格、应取消援助、户籍迁出我省</w:t>
      </w:r>
      <w:r>
        <w:rPr>
          <w:rFonts w:hint="eastAsia" w:ascii="宋体" w:hAnsi="宋体" w:eastAsia="方正仿宋_GBK" w:cs="方正仿宋_GBK"/>
          <w:color w:val="auto"/>
          <w:sz w:val="32"/>
          <w:szCs w:val="32"/>
          <w:lang w:val="en-US" w:eastAsia="zh-CN"/>
        </w:rPr>
        <w:t>5大类12种退出援助</w:t>
      </w:r>
      <w:r>
        <w:rPr>
          <w:rFonts w:hint="eastAsia" w:ascii="宋体" w:hAnsi="宋体" w:eastAsia="方正仿宋_GBK" w:cs="方正仿宋_GBK"/>
          <w:sz w:val="32"/>
          <w:szCs w:val="32"/>
          <w:lang w:val="en-US" w:eastAsia="zh-CN"/>
        </w:rPr>
        <w:t>情形，</w:t>
      </w:r>
      <w:r>
        <w:rPr>
          <w:rFonts w:hint="eastAsia" w:ascii="宋体" w:hAnsi="宋体" w:eastAsia="方正仿宋_GBK" w:cs="方正仿宋_GBK"/>
          <w:b/>
          <w:bCs/>
          <w:sz w:val="32"/>
          <w:szCs w:val="32"/>
          <w:lang w:val="en-US" w:eastAsia="zh-CN"/>
        </w:rPr>
        <w:t>首次</w:t>
      </w:r>
      <w:r>
        <w:rPr>
          <w:rFonts w:hint="eastAsia" w:ascii="宋体" w:hAnsi="宋体" w:eastAsia="方正仿宋_GBK" w:cs="方正仿宋_GBK"/>
          <w:sz w:val="32"/>
          <w:szCs w:val="32"/>
          <w:lang w:val="en-US" w:eastAsia="zh-CN"/>
        </w:rPr>
        <w:t>界定了我省退出就业援助的条件，为各州（市）细化操作指引提供了规范依据。</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600" w:lineRule="exact"/>
        <w:ind w:firstLine="640" w:firstLineChars="200"/>
        <w:jc w:val="both"/>
        <w:textAlignment w:val="auto"/>
        <w:rPr>
          <w:rFonts w:hint="eastAsia" w:ascii="宋体" w:hAnsi="宋体" w:eastAsia="方正楷体_GBK" w:cs="方正楷体_GBK"/>
          <w:kern w:val="2"/>
          <w:sz w:val="32"/>
          <w:szCs w:val="32"/>
          <w:lang w:val="en-US" w:eastAsia="zh-CN" w:bidi="ar-SA"/>
        </w:rPr>
      </w:pPr>
      <w:r>
        <w:rPr>
          <w:rFonts w:hint="eastAsia" w:ascii="宋体" w:hAnsi="宋体" w:eastAsia="方正楷体_GBK" w:cs="方正楷体_GBK"/>
          <w:kern w:val="2"/>
          <w:sz w:val="32"/>
          <w:szCs w:val="32"/>
          <w:lang w:val="en-US" w:eastAsia="zh-CN" w:bidi="ar-SA"/>
        </w:rPr>
        <w:t>（二）城镇公岗暂行规定主要内容及创新突破</w:t>
      </w:r>
    </w:p>
    <w:p>
      <w:pPr>
        <w:keepNext w:val="0"/>
        <w:keepLines w:val="0"/>
        <w:pageBreakBefore w:val="0"/>
        <w:widowControl w:val="0"/>
        <w:kinsoku/>
        <w:wordWrap/>
        <w:overflowPunct w:val="0"/>
        <w:topLinePunct/>
        <w:autoSpaceDE/>
        <w:autoSpaceDN/>
        <w:bidi w:val="0"/>
        <w:adjustRightInd/>
        <w:snapToGrid/>
        <w:spacing w:beforeAutospacing="0" w:afterAutospacing="0" w:line="600" w:lineRule="exact"/>
        <w:ind w:firstLine="643" w:firstLineChars="200"/>
        <w:jc w:val="both"/>
        <w:textAlignment w:val="auto"/>
        <w:rPr>
          <w:rFonts w:hint="eastAsia" w:ascii="宋体" w:hAnsi="宋体" w:eastAsia="方正仿宋_GBK" w:cs="宋体"/>
          <w:b/>
          <w:bCs/>
          <w:sz w:val="32"/>
          <w:szCs w:val="32"/>
          <w:lang w:val="en-US" w:eastAsia="zh-CN"/>
        </w:rPr>
      </w:pPr>
      <w:r>
        <w:rPr>
          <w:rFonts w:hint="eastAsia" w:ascii="宋体" w:hAnsi="宋体" w:eastAsia="宋体" w:cs="宋体"/>
          <w:b/>
          <w:bCs/>
          <w:sz w:val="32"/>
          <w:szCs w:val="32"/>
          <w:lang w:val="en-US" w:eastAsia="zh-CN"/>
        </w:rPr>
        <w:t>1、</w:t>
      </w:r>
      <w:r>
        <w:rPr>
          <w:rFonts w:hint="eastAsia" w:ascii="宋体" w:hAnsi="宋体" w:eastAsia="方正仿宋_GBK" w:cs="宋体"/>
          <w:b/>
          <w:bCs/>
          <w:sz w:val="32"/>
          <w:szCs w:val="32"/>
          <w:lang w:val="en-US" w:eastAsia="zh-CN"/>
        </w:rPr>
        <w:t>主要内容</w:t>
      </w:r>
    </w:p>
    <w:p>
      <w:pPr>
        <w:keepNext w:val="0"/>
        <w:keepLines w:val="0"/>
        <w:pageBreakBefore w:val="0"/>
        <w:widowControl w:val="0"/>
        <w:kinsoku/>
        <w:wordWrap/>
        <w:overflowPunct w:val="0"/>
        <w:topLinePunct/>
        <w:autoSpaceDE/>
        <w:autoSpaceDN/>
        <w:bidi w:val="0"/>
        <w:adjustRightInd/>
        <w:snapToGrid/>
        <w:spacing w:beforeAutospacing="0" w:afterAutospacing="0" w:line="600" w:lineRule="exact"/>
        <w:ind w:firstLine="640" w:firstLineChars="200"/>
        <w:jc w:val="both"/>
        <w:textAlignment w:val="auto"/>
        <w:rPr>
          <w:rFonts w:hint="eastAsia" w:ascii="宋体" w:hAnsi="宋体" w:eastAsia="方正仿宋_GBK" w:cs="宋体"/>
          <w:sz w:val="32"/>
          <w:szCs w:val="32"/>
          <w:lang w:val="en-US" w:eastAsia="zh-CN"/>
        </w:rPr>
      </w:pPr>
      <w:r>
        <w:rPr>
          <w:rFonts w:hint="eastAsia" w:ascii="宋体" w:hAnsi="宋体" w:eastAsia="方正仿宋_GBK" w:cs="宋体"/>
          <w:sz w:val="32"/>
          <w:szCs w:val="32"/>
          <w:lang w:val="en-US" w:eastAsia="zh-CN"/>
        </w:rPr>
        <w:t>该暂行规定共</w:t>
      </w:r>
      <w:r>
        <w:rPr>
          <w:rFonts w:hint="eastAsia" w:ascii="宋体" w:hAnsi="宋体" w:eastAsia="方正仿宋_GBK" w:cs="宋体"/>
          <w:color w:val="auto"/>
          <w:sz w:val="32"/>
          <w:szCs w:val="32"/>
          <w:lang w:val="en-US" w:eastAsia="zh-CN"/>
        </w:rPr>
        <w:t>6章31</w:t>
      </w:r>
      <w:r>
        <w:rPr>
          <w:rFonts w:hint="eastAsia" w:ascii="宋体" w:hAnsi="宋体" w:eastAsia="方正仿宋_GBK" w:cs="宋体"/>
          <w:sz w:val="32"/>
          <w:szCs w:val="32"/>
          <w:lang w:val="en-US" w:eastAsia="zh-CN"/>
        </w:rPr>
        <w:t>条，从岗位开发设置原则、岗位类别、管理细则、安置流程、待遇标准及监督指导方面进行规范，填补完善了我省城镇区域内公益性岗位（简称城镇公益性岗位）开发、管理等方面的规章制度空白。总结归纳起来就是2个创新突破和4个规范统一。</w:t>
      </w:r>
    </w:p>
    <w:p>
      <w:pPr>
        <w:keepNext w:val="0"/>
        <w:keepLines w:val="0"/>
        <w:pageBreakBefore w:val="0"/>
        <w:widowControl w:val="0"/>
        <w:kinsoku/>
        <w:wordWrap/>
        <w:overflowPunct w:val="0"/>
        <w:topLinePunct/>
        <w:autoSpaceDE/>
        <w:autoSpaceDN/>
        <w:bidi w:val="0"/>
        <w:adjustRightInd/>
        <w:snapToGrid/>
        <w:spacing w:beforeAutospacing="0" w:afterAutospacing="0" w:line="600" w:lineRule="exact"/>
        <w:ind w:firstLine="643" w:firstLineChars="200"/>
        <w:jc w:val="both"/>
        <w:textAlignment w:val="auto"/>
        <w:rPr>
          <w:rFonts w:hint="eastAsia" w:ascii="宋体" w:hAnsi="宋体" w:eastAsia="方正仿宋_GBK" w:cs="宋体"/>
          <w:sz w:val="32"/>
          <w:szCs w:val="32"/>
          <w:lang w:val="en-US" w:eastAsia="zh-CN"/>
        </w:rPr>
      </w:pPr>
      <w:r>
        <w:rPr>
          <w:rFonts w:hint="eastAsia" w:ascii="宋体" w:hAnsi="宋体" w:eastAsia="方正仿宋_GBK" w:cs="方正仿宋_GBK"/>
          <w:b/>
          <w:bCs/>
          <w:sz w:val="32"/>
          <w:szCs w:val="32"/>
          <w:lang w:val="en-US" w:eastAsia="zh-CN"/>
        </w:rPr>
        <w:t>2个创新突破：</w:t>
      </w:r>
      <w:r>
        <w:rPr>
          <w:rFonts w:hint="eastAsia" w:ascii="宋体" w:hAnsi="宋体" w:eastAsia="方正楷体_GBK" w:cs="方正楷体_GBK"/>
          <w:sz w:val="32"/>
          <w:szCs w:val="32"/>
          <w:lang w:val="en-US" w:eastAsia="zh-CN"/>
        </w:rPr>
        <w:t>一是将可开发公益性岗位的用人单位扩展到我省省内家政服务业行业、物业管理服务行业和养老服务行业中的中小微企业。</w:t>
      </w:r>
      <w:r>
        <w:rPr>
          <w:rFonts w:hint="eastAsia" w:ascii="宋体" w:hAnsi="宋体" w:eastAsia="方正仿宋_GBK" w:cs="宋体"/>
          <w:sz w:val="32"/>
          <w:szCs w:val="32"/>
          <w:lang w:val="en-US" w:eastAsia="zh-CN"/>
        </w:rPr>
        <w:t>借鉴其他省份的先进经验，</w:t>
      </w:r>
      <w:r>
        <w:rPr>
          <w:rFonts w:hint="eastAsia" w:ascii="宋体" w:hAnsi="宋体" w:eastAsia="方正仿宋_GBK" w:cs="宋体"/>
          <w:color w:val="auto"/>
          <w:sz w:val="32"/>
          <w:szCs w:val="32"/>
          <w:lang w:val="en-US" w:eastAsia="zh-CN"/>
        </w:rPr>
        <w:t>将对年龄、专业技能要求不高，进入门槛较低的我省省内家政服务业行业、物业管理服务行业、养老服务行业3种行业中的中小微企业纳入</w:t>
      </w:r>
      <w:r>
        <w:rPr>
          <w:rFonts w:hint="eastAsia" w:ascii="宋体" w:hAnsi="宋体" w:eastAsia="方正仿宋_GBK" w:cs="宋体"/>
          <w:strike w:val="0"/>
          <w:dstrike w:val="0"/>
          <w:color w:val="auto"/>
          <w:sz w:val="32"/>
          <w:szCs w:val="32"/>
          <w:lang w:val="en-US" w:eastAsia="zh-CN"/>
        </w:rPr>
        <w:t>可进行</w:t>
      </w:r>
      <w:r>
        <w:rPr>
          <w:rFonts w:hint="eastAsia" w:ascii="宋体" w:hAnsi="宋体" w:eastAsia="方正仿宋_GBK" w:cs="宋体"/>
          <w:color w:val="auto"/>
          <w:sz w:val="32"/>
          <w:szCs w:val="32"/>
          <w:lang w:val="en-US" w:eastAsia="zh-CN"/>
        </w:rPr>
        <w:t>公益性岗位开发设置的用人单位范围，更有利于通过市场确实难以就业的困难人员实</w:t>
      </w:r>
      <w:r>
        <w:rPr>
          <w:rFonts w:hint="eastAsia" w:ascii="宋体" w:hAnsi="宋体" w:eastAsia="方正仿宋_GBK" w:cs="宋体"/>
          <w:sz w:val="32"/>
          <w:szCs w:val="32"/>
          <w:lang w:val="en-US" w:eastAsia="zh-CN"/>
        </w:rPr>
        <w:t>现稳定就业（第6条第四款）。</w:t>
      </w:r>
      <w:r>
        <w:rPr>
          <w:rFonts w:hint="eastAsia" w:ascii="宋体" w:hAnsi="宋体" w:eastAsia="方正楷体_GBK" w:cs="方正楷体_GBK"/>
          <w:sz w:val="32"/>
          <w:szCs w:val="32"/>
          <w:lang w:val="en-US" w:eastAsia="zh-CN"/>
        </w:rPr>
        <w:t>二是结合编制使用情况对机关、事业单位城镇公益性岗位开发数量进行控制，避免公益性岗位安置泛福利化或变相</w:t>
      </w:r>
      <w:bookmarkStart w:id="0" w:name="_GoBack"/>
      <w:bookmarkEnd w:id="0"/>
      <w:r>
        <w:rPr>
          <w:rFonts w:hint="eastAsia" w:ascii="宋体" w:hAnsi="宋体" w:eastAsia="方正楷体_GBK" w:cs="方正楷体_GBK"/>
          <w:sz w:val="32"/>
          <w:szCs w:val="32"/>
          <w:lang w:val="en-US" w:eastAsia="zh-CN"/>
        </w:rPr>
        <w:t>使用公益性岗位补充人员编制不足问题。</w:t>
      </w:r>
      <w:r>
        <w:rPr>
          <w:rFonts w:hint="eastAsia" w:ascii="宋体" w:hAnsi="宋体" w:eastAsia="方正仿宋_GBK" w:cs="Times New Roman"/>
          <w:color w:val="auto"/>
          <w:kern w:val="2"/>
          <w:sz w:val="32"/>
          <w:szCs w:val="32"/>
          <w:lang w:val="en-US" w:eastAsia="zh-CN" w:bidi="ar-SA"/>
        </w:rPr>
        <w:t>按照国家对公益性岗位开发总量控制的指导思想，机关事业单位开发的城镇公益性岗位数要结合每年机关事业单位编制情况和当地就业资金总量可支撑开发城镇公益性岗位规模进行总量调控，空编超过10%或超编的机关、事业单位，不得申请新增开发城镇公益性岗位。对</w:t>
      </w:r>
      <w:r>
        <w:rPr>
          <w:rFonts w:hint="eastAsia" w:ascii="宋体" w:hAnsi="宋体" w:eastAsia="方正仿宋_GBK" w:cs="宋体"/>
          <w:sz w:val="32"/>
          <w:szCs w:val="32"/>
          <w:lang w:val="en-US" w:eastAsia="zh-CN"/>
        </w:rPr>
        <w:t>机关事业单位超出控制数量的已安置人员按照老人老办法执行，安置期届满后逐步退出（第7条）。</w:t>
      </w:r>
    </w:p>
    <w:p>
      <w:pPr>
        <w:keepNext w:val="0"/>
        <w:keepLines w:val="0"/>
        <w:pageBreakBefore w:val="0"/>
        <w:widowControl w:val="0"/>
        <w:numPr>
          <w:ilvl w:val="0"/>
          <w:numId w:val="0"/>
        </w:numPr>
        <w:kinsoku/>
        <w:wordWrap/>
        <w:overflowPunct w:val="0"/>
        <w:topLinePunct/>
        <w:autoSpaceDE/>
        <w:autoSpaceDN/>
        <w:bidi w:val="0"/>
        <w:adjustRightInd/>
        <w:snapToGrid/>
        <w:spacing w:line="600" w:lineRule="exact"/>
        <w:ind w:firstLine="643" w:firstLineChars="200"/>
        <w:jc w:val="both"/>
        <w:textAlignment w:val="auto"/>
        <w:rPr>
          <w:rFonts w:hint="eastAsia" w:ascii="宋体" w:hAnsi="宋体" w:eastAsia="方正仿宋_GBK" w:cs="宋体"/>
          <w:sz w:val="32"/>
          <w:szCs w:val="32"/>
          <w:lang w:val="en-US" w:eastAsia="zh-CN"/>
        </w:rPr>
      </w:pPr>
      <w:r>
        <w:rPr>
          <w:rFonts w:hint="eastAsia" w:ascii="宋体" w:hAnsi="宋体" w:eastAsia="方正仿宋_GBK" w:cs="宋体"/>
          <w:b/>
          <w:bCs/>
          <w:sz w:val="32"/>
          <w:szCs w:val="32"/>
          <w:lang w:val="en-US" w:eastAsia="zh-CN"/>
        </w:rPr>
        <w:t>4个规范统一</w:t>
      </w:r>
      <w:r>
        <w:rPr>
          <w:rFonts w:hint="eastAsia" w:ascii="宋体" w:hAnsi="宋体" w:eastAsia="方正仿宋_GBK" w:cs="宋体"/>
          <w:sz w:val="32"/>
          <w:szCs w:val="32"/>
          <w:lang w:val="en-US" w:eastAsia="zh-CN"/>
        </w:rPr>
        <w:t>：</w:t>
      </w:r>
      <w:r>
        <w:rPr>
          <w:rFonts w:hint="eastAsia" w:ascii="宋体" w:hAnsi="宋体" w:eastAsia="方正楷体_GBK" w:cs="方正楷体_GBK"/>
          <w:sz w:val="32"/>
          <w:szCs w:val="32"/>
          <w:lang w:val="en-US" w:eastAsia="zh-CN"/>
        </w:rPr>
        <w:t>一是规范统一我省城镇公岗类别。</w:t>
      </w:r>
      <w:r>
        <w:rPr>
          <w:rFonts w:hint="eastAsia" w:ascii="宋体" w:hAnsi="宋体" w:eastAsia="方正仿宋_GBK"/>
          <w:sz w:val="32"/>
          <w:lang w:val="en-US" w:eastAsia="zh-CN"/>
        </w:rPr>
        <w:t>根据国家人力资源社会保障部全国就业创业信息跨地区共享服务规范中的公岗类别将我省城镇公益性岗位统一规范为5类，即：</w:t>
      </w:r>
      <w:r>
        <w:rPr>
          <w:rFonts w:hint="eastAsia" w:ascii="宋体" w:hAnsi="宋体" w:eastAsia="方正楷体_GBK" w:cs="方正楷体_GBK"/>
          <w:sz w:val="32"/>
          <w:szCs w:val="32"/>
          <w:lang w:val="en-US" w:eastAsia="zh-CN"/>
        </w:rPr>
        <w:t>1.</w:t>
      </w:r>
      <w:r>
        <w:rPr>
          <w:rFonts w:hint="eastAsia" w:ascii="宋体" w:hAnsi="宋体" w:eastAsia="方正仿宋_GBK"/>
          <w:sz w:val="32"/>
          <w:lang w:val="en-US" w:eastAsia="zh-CN"/>
        </w:rPr>
        <w:t>社区基层服务类岗位；2.劳动保障基层平台管理类岗位；3.其他基层协管类岗位；4.</w:t>
      </w:r>
      <w:r>
        <w:rPr>
          <w:rFonts w:hint="eastAsia" w:ascii="宋体" w:hAnsi="宋体" w:eastAsia="方正仿宋_GBK"/>
          <w:color w:val="auto"/>
          <w:sz w:val="32"/>
          <w:lang w:val="en-US" w:eastAsia="zh-CN"/>
        </w:rPr>
        <w:t>企业非管理类岗位；5.</w:t>
      </w:r>
      <w:r>
        <w:rPr>
          <w:rFonts w:ascii="宋体" w:hAnsi="宋体" w:eastAsia="方正仿宋_GBK"/>
          <w:color w:val="auto"/>
          <w:sz w:val="32"/>
        </w:rPr>
        <w:t>机关</w:t>
      </w:r>
      <w:r>
        <w:rPr>
          <w:rFonts w:hint="eastAsia" w:ascii="宋体" w:hAnsi="宋体" w:eastAsia="方正仿宋_GBK"/>
          <w:sz w:val="32"/>
          <w:lang w:val="en-US" w:eastAsia="zh-CN"/>
        </w:rPr>
        <w:t>事业</w:t>
      </w:r>
      <w:r>
        <w:rPr>
          <w:rFonts w:ascii="宋体" w:hAnsi="宋体" w:eastAsia="方正仿宋_GBK"/>
          <w:color w:val="auto"/>
          <w:sz w:val="32"/>
        </w:rPr>
        <w:t>单位、社会组织</w:t>
      </w:r>
      <w:r>
        <w:rPr>
          <w:rFonts w:hint="eastAsia" w:ascii="宋体" w:hAnsi="宋体" w:eastAsia="方正仿宋_GBK"/>
          <w:color w:val="auto"/>
          <w:sz w:val="32"/>
          <w:lang w:val="en-US" w:eastAsia="zh-CN"/>
        </w:rPr>
        <w:t>开发的工勤服务辅助性岗位。</w:t>
      </w:r>
      <w:r>
        <w:rPr>
          <w:rFonts w:hint="eastAsia" w:ascii="宋体" w:hAnsi="宋体" w:eastAsia="方正楷体_GBK" w:cs="方正楷体_GBK"/>
          <w:sz w:val="32"/>
          <w:szCs w:val="32"/>
          <w:lang w:val="en-US" w:eastAsia="zh-CN"/>
        </w:rPr>
        <w:t>二是规范统一安置期限计算</w:t>
      </w:r>
      <w:r>
        <w:rPr>
          <w:rFonts w:hint="eastAsia" w:ascii="宋体" w:hAnsi="宋体" w:eastAsia="方正仿宋_GBK" w:cs="宋体"/>
          <w:sz w:val="32"/>
          <w:szCs w:val="32"/>
          <w:lang w:val="en-US" w:eastAsia="zh-CN"/>
        </w:rPr>
        <w:t>。将各地在执行中存在争议的“</w:t>
      </w:r>
      <w:r>
        <w:rPr>
          <w:rFonts w:hint="eastAsia" w:ascii="宋体" w:hAnsi="宋体" w:eastAsia="方正仿宋_GBK" w:cs="Times New Roman"/>
          <w:kern w:val="2"/>
          <w:sz w:val="32"/>
          <w:szCs w:val="32"/>
          <w:lang w:val="en-US" w:eastAsia="zh-CN" w:bidi="ar-SA"/>
        </w:rPr>
        <w:t>距法定退休年龄不足5年的，可延</w:t>
      </w:r>
      <w:r>
        <w:rPr>
          <w:rFonts w:hint="eastAsia" w:ascii="宋体" w:hAnsi="宋体" w:eastAsia="方正仿宋_GBK"/>
          <w:sz w:val="32"/>
          <w:szCs w:val="32"/>
        </w:rPr>
        <w:t>续</w:t>
      </w:r>
      <w:r>
        <w:rPr>
          <w:rFonts w:hint="eastAsia" w:ascii="宋体" w:hAnsi="宋体" w:eastAsia="方正仿宋_GBK"/>
          <w:sz w:val="32"/>
          <w:szCs w:val="32"/>
          <w:lang w:eastAsia="zh-CN"/>
        </w:rPr>
        <w:t>安置</w:t>
      </w:r>
      <w:r>
        <w:rPr>
          <w:rFonts w:hint="eastAsia" w:ascii="宋体" w:hAnsi="宋体" w:eastAsia="方正仿宋_GBK"/>
          <w:sz w:val="32"/>
          <w:szCs w:val="32"/>
        </w:rPr>
        <w:t>至</w:t>
      </w:r>
      <w:r>
        <w:rPr>
          <w:rFonts w:hint="eastAsia" w:ascii="宋体" w:hAnsi="宋体" w:eastAsia="方正仿宋_GBK"/>
          <w:sz w:val="32"/>
          <w:szCs w:val="32"/>
          <w:lang w:eastAsia="zh-CN"/>
        </w:rPr>
        <w:t>退休</w:t>
      </w:r>
      <w:r>
        <w:rPr>
          <w:rFonts w:hint="eastAsia" w:ascii="宋体" w:hAnsi="宋体" w:eastAsia="方正仿宋_GBK" w:cs="宋体"/>
          <w:sz w:val="32"/>
          <w:szCs w:val="32"/>
          <w:lang w:val="en-US" w:eastAsia="zh-CN"/>
        </w:rPr>
        <w:t>”具体</w:t>
      </w:r>
      <w:r>
        <w:rPr>
          <w:rFonts w:hint="eastAsia" w:ascii="宋体" w:hAnsi="宋体" w:eastAsia="方正仿宋_GBK"/>
          <w:sz w:val="32"/>
          <w:szCs w:val="32"/>
          <w:lang w:eastAsia="zh-CN"/>
        </w:rPr>
        <w:t>细化规范为“</w:t>
      </w:r>
      <w:r>
        <w:rPr>
          <w:rFonts w:hint="eastAsia" w:ascii="宋体" w:hAnsi="宋体" w:eastAsia="方正仿宋_GBK" w:cs="Times New Roman"/>
          <w:kern w:val="2"/>
          <w:sz w:val="32"/>
          <w:szCs w:val="32"/>
          <w:lang w:val="en-US" w:eastAsia="zh-CN" w:bidi="ar-SA"/>
        </w:rPr>
        <w:t>距法定退休年龄不足5年的，可延</w:t>
      </w:r>
      <w:r>
        <w:rPr>
          <w:rFonts w:hint="eastAsia" w:ascii="宋体" w:hAnsi="宋体" w:eastAsia="方正仿宋_GBK"/>
          <w:sz w:val="32"/>
          <w:szCs w:val="32"/>
        </w:rPr>
        <w:t>续</w:t>
      </w:r>
      <w:r>
        <w:rPr>
          <w:rFonts w:hint="eastAsia" w:ascii="宋体" w:hAnsi="宋体" w:eastAsia="方正仿宋_GBK"/>
          <w:sz w:val="32"/>
          <w:szCs w:val="32"/>
          <w:lang w:eastAsia="zh-CN"/>
        </w:rPr>
        <w:t>安置</w:t>
      </w:r>
      <w:r>
        <w:rPr>
          <w:rFonts w:hint="eastAsia" w:ascii="宋体" w:hAnsi="宋体" w:eastAsia="方正仿宋_GBK"/>
          <w:sz w:val="32"/>
          <w:szCs w:val="32"/>
        </w:rPr>
        <w:t>至</w:t>
      </w:r>
      <w:r>
        <w:rPr>
          <w:rFonts w:hint="eastAsia" w:ascii="宋体" w:hAnsi="宋体" w:eastAsia="方正仿宋_GBK"/>
          <w:sz w:val="32"/>
          <w:szCs w:val="32"/>
          <w:lang w:eastAsia="zh-CN"/>
        </w:rPr>
        <w:t>其达到法定退休年龄”，使该条款更具有操作性，避免各地因理解不一存在政策执行不一的情况</w:t>
      </w:r>
      <w:r>
        <w:rPr>
          <w:rFonts w:hint="eastAsia" w:ascii="宋体" w:hAnsi="宋体" w:eastAsia="方正仿宋_GBK" w:cs="宋体"/>
          <w:sz w:val="32"/>
          <w:szCs w:val="32"/>
          <w:lang w:val="en-US" w:eastAsia="zh-CN"/>
        </w:rPr>
        <w:t>（第11条）；</w:t>
      </w:r>
      <w:r>
        <w:rPr>
          <w:rFonts w:hint="eastAsia" w:ascii="宋体" w:hAnsi="宋体" w:eastAsia="方正楷体_GBK" w:cs="方正楷体_GBK"/>
          <w:sz w:val="32"/>
          <w:szCs w:val="32"/>
          <w:lang w:val="en-US" w:eastAsia="zh-CN"/>
        </w:rPr>
        <w:t>三是</w:t>
      </w:r>
      <w:r>
        <w:rPr>
          <w:rFonts w:hint="eastAsia" w:ascii="宋体" w:hAnsi="宋体" w:eastAsia="方正楷体_GBK" w:cs="方正楷体_GBK"/>
          <w:color w:val="auto"/>
          <w:sz w:val="32"/>
          <w:szCs w:val="32"/>
          <w:lang w:val="en-US" w:eastAsia="zh-CN"/>
        </w:rPr>
        <w:t>规范统一公益性岗位二次安置的条件。</w:t>
      </w:r>
      <w:r>
        <w:rPr>
          <w:rFonts w:hint="eastAsia" w:ascii="宋体" w:hAnsi="宋体" w:eastAsia="方正仿宋_GBK" w:cs="Times New Roman"/>
          <w:color w:val="auto"/>
          <w:kern w:val="2"/>
          <w:sz w:val="32"/>
          <w:szCs w:val="32"/>
          <w:lang w:val="en-US" w:eastAsia="zh-CN" w:bidi="ar-SA"/>
        </w:rPr>
        <w:t>对公益性岗位二次安置的“二次”要求进行了明确，即“再次认定为就业困难人员，按规定进行二次安置”，“二次”与“首次”不存在接续关系，需要满足公益性岗位安置的所有条件后方可进行二次安置，同一人员累计安置次数不超过2次。同时，对公益性岗位二次优先安置的特殊困难人员进行了明确，即：退出后难以市场化就业的离法定退休年龄不足5年的大龄就业困难人员、零就业家庭成员、具备相应劳动能力且符合岗位要求的残疾人等特殊困难人员。</w:t>
      </w:r>
      <w:r>
        <w:rPr>
          <w:rFonts w:hint="eastAsia" w:ascii="宋体" w:hAnsi="宋体" w:eastAsia="方正楷体_GBK" w:cs="方正楷体_GBK"/>
          <w:sz w:val="32"/>
          <w:szCs w:val="32"/>
          <w:lang w:val="en-US" w:eastAsia="zh-CN"/>
        </w:rPr>
        <w:t>四是规范统一公益性岗位安置人员权益保障。</w:t>
      </w:r>
      <w:r>
        <w:rPr>
          <w:rFonts w:hint="eastAsia" w:ascii="宋体" w:hAnsi="宋体" w:eastAsia="方正仿宋_GBK" w:cs="宋体"/>
          <w:sz w:val="32"/>
          <w:szCs w:val="32"/>
          <w:lang w:val="en-US" w:eastAsia="zh-CN"/>
        </w:rPr>
        <w:t>对公益性岗位安置人员的合同签订、岗位待遇、社保参保等权益进行规范统一。如：规范了公益性岗位安置人员劳动合同应与用人单位签订，不得与第三方签订劳务派遣合同，避免安置人员合法权益受到侵害；又如补充完善了对女性安置人员三期（孕期、产期、哺乳期）权益保障等。</w:t>
      </w:r>
    </w:p>
    <w:p>
      <w:pPr>
        <w:keepNext w:val="0"/>
        <w:keepLines w:val="0"/>
        <w:pageBreakBefore w:val="0"/>
        <w:widowControl w:val="0"/>
        <w:kinsoku/>
        <w:wordWrap/>
        <w:overflowPunct/>
        <w:topLinePunct/>
        <w:autoSpaceDE/>
        <w:autoSpaceDN/>
        <w:bidi w:val="0"/>
        <w:adjustRightInd/>
        <w:snapToGrid/>
        <w:spacing w:line="600" w:lineRule="exact"/>
        <w:ind w:firstLine="420" w:firstLineChars="200"/>
        <w:jc w:val="both"/>
        <w:textAlignment w:val="auto"/>
        <w:rPr>
          <w:rFonts w:hint="default"/>
          <w:lang w:val="en-US" w:eastAsia="zh-CN"/>
        </w:rPr>
      </w:pPr>
    </w:p>
    <w:sectPr>
      <w:footerReference r:id="rId3" w:type="default"/>
      <w:footerReference r:id="rId4" w:type="even"/>
      <w:pgSz w:w="11906" w:h="16838"/>
      <w:pgMar w:top="2098" w:right="1531" w:bottom="1984" w:left="185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楷体_GBK">
    <w:altName w:val="微软雅黑"/>
    <w:panose1 w:val="03000509000000000000"/>
    <w:charset w:val="86"/>
    <w:family w:val="auto"/>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posOffset>59690</wp:posOffset>
              </wp:positionH>
              <wp:positionV relativeFrom="paragraph">
                <wp:posOffset>-88265</wp:posOffset>
              </wp:positionV>
              <wp:extent cx="647065" cy="215265"/>
              <wp:effectExtent l="0" t="0" r="0" b="0"/>
              <wp:wrapNone/>
              <wp:docPr id="2" name="文本框 2"/>
              <wp:cNvGraphicFramePr/>
              <a:graphic xmlns:a="http://schemas.openxmlformats.org/drawingml/2006/main">
                <a:graphicData uri="http://schemas.microsoft.com/office/word/2010/wordprocessingShape">
                  <wps:wsp>
                    <wps:cNvSpPr txBox="1"/>
                    <wps:spPr>
                      <a:xfrm>
                        <a:off x="0" y="0"/>
                        <a:ext cx="647065" cy="215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7pt;margin-top:-6.95pt;height:16.95pt;width:50.95pt;mso-position-horizontal-relative:margin;z-index:251660288;mso-width-relative:page;mso-height-relative:page;" filled="f" stroked="f" coordsize="21600,21600" o:gfxdata="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0KCFdUAAAAIAQAADwAA&#10;AAAAAAABACAAAAAiAAAAZHJzL2Rvd25yZXYueG1sUEsBAhQAFAAAAAgAh07iQGy6XJUZAgAAEwQA&#10;AA4AAAAAAAAAAQAgAAAAJAEAAGRycy9lMm9Eb2MueG1sUEsFBgAAAAAGAAYAWQEAAK8FAAAAAA==&#10;">
              <v:fill on="f" focussize="0,0"/>
              <v:stroke on="f" weight="0.5pt"/>
              <v:imagedata o:title=""/>
              <o:lock v:ext="edit" aspectratio="f"/>
              <v:textbox inset="0mm,0mm,0mm,0mm">
                <w:txbxContent>
                  <w:p>
                    <w:pPr>
                      <w:pStyle w:val="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78F43C6"/>
    <w:multiLevelType w:val="singleLevel"/>
    <w:tmpl w:val="E78F43C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3YWZjYWYyMDFmMmU0ZWI5ZWMzZGQ2OTcwMGEyOWIifQ=="/>
  </w:docVars>
  <w:rsids>
    <w:rsidRoot w:val="32721A0D"/>
    <w:rsid w:val="00CB1946"/>
    <w:rsid w:val="0200556E"/>
    <w:rsid w:val="039D64AE"/>
    <w:rsid w:val="04774CED"/>
    <w:rsid w:val="047E70B9"/>
    <w:rsid w:val="05E24F2C"/>
    <w:rsid w:val="05FB4954"/>
    <w:rsid w:val="06417C5C"/>
    <w:rsid w:val="086F63E6"/>
    <w:rsid w:val="094773C3"/>
    <w:rsid w:val="09BF5A6C"/>
    <w:rsid w:val="0A520DCB"/>
    <w:rsid w:val="0AE8284C"/>
    <w:rsid w:val="0B4460D6"/>
    <w:rsid w:val="0C5C19E5"/>
    <w:rsid w:val="0D6A1CBD"/>
    <w:rsid w:val="0E754AE3"/>
    <w:rsid w:val="0EE0306B"/>
    <w:rsid w:val="0FF5623C"/>
    <w:rsid w:val="102201D3"/>
    <w:rsid w:val="10A8724F"/>
    <w:rsid w:val="10F94C12"/>
    <w:rsid w:val="115B0F63"/>
    <w:rsid w:val="11D45BB4"/>
    <w:rsid w:val="129D3E12"/>
    <w:rsid w:val="13973866"/>
    <w:rsid w:val="13A22CF5"/>
    <w:rsid w:val="14074DE1"/>
    <w:rsid w:val="147E4F9D"/>
    <w:rsid w:val="15851842"/>
    <w:rsid w:val="15D4451D"/>
    <w:rsid w:val="16140E33"/>
    <w:rsid w:val="16AE4783"/>
    <w:rsid w:val="18343886"/>
    <w:rsid w:val="18C20978"/>
    <w:rsid w:val="191D357D"/>
    <w:rsid w:val="191E4FDB"/>
    <w:rsid w:val="19602C1A"/>
    <w:rsid w:val="1BF038D7"/>
    <w:rsid w:val="1CEF050F"/>
    <w:rsid w:val="1D444F3B"/>
    <w:rsid w:val="1D7A6CF4"/>
    <w:rsid w:val="1DA0443F"/>
    <w:rsid w:val="1EC02738"/>
    <w:rsid w:val="205D206B"/>
    <w:rsid w:val="212C279B"/>
    <w:rsid w:val="23212630"/>
    <w:rsid w:val="232A0414"/>
    <w:rsid w:val="241E11AA"/>
    <w:rsid w:val="249E3FDB"/>
    <w:rsid w:val="25336B6E"/>
    <w:rsid w:val="26836450"/>
    <w:rsid w:val="27466061"/>
    <w:rsid w:val="279462AC"/>
    <w:rsid w:val="288B1F6C"/>
    <w:rsid w:val="29995ACA"/>
    <w:rsid w:val="2A1A3F93"/>
    <w:rsid w:val="2A6D425E"/>
    <w:rsid w:val="2A8E7DD0"/>
    <w:rsid w:val="2AD13A0D"/>
    <w:rsid w:val="2D8862B7"/>
    <w:rsid w:val="2DC87FB1"/>
    <w:rsid w:val="2E450FFA"/>
    <w:rsid w:val="2E831ABC"/>
    <w:rsid w:val="2F2162B6"/>
    <w:rsid w:val="30055F99"/>
    <w:rsid w:val="30116D49"/>
    <w:rsid w:val="31DE5869"/>
    <w:rsid w:val="32721A0D"/>
    <w:rsid w:val="33A0674E"/>
    <w:rsid w:val="34D544EA"/>
    <w:rsid w:val="361009C0"/>
    <w:rsid w:val="363D669A"/>
    <w:rsid w:val="36E503EF"/>
    <w:rsid w:val="371B6469"/>
    <w:rsid w:val="38015BA2"/>
    <w:rsid w:val="390C6274"/>
    <w:rsid w:val="39654A8A"/>
    <w:rsid w:val="3ADC5E85"/>
    <w:rsid w:val="3CF27736"/>
    <w:rsid w:val="3DF32496"/>
    <w:rsid w:val="3E072966"/>
    <w:rsid w:val="3E8F0515"/>
    <w:rsid w:val="3FA15D8C"/>
    <w:rsid w:val="3FB13A48"/>
    <w:rsid w:val="40C92AE6"/>
    <w:rsid w:val="42772049"/>
    <w:rsid w:val="43744AE0"/>
    <w:rsid w:val="44D435EB"/>
    <w:rsid w:val="453C0634"/>
    <w:rsid w:val="458972B7"/>
    <w:rsid w:val="45E0116C"/>
    <w:rsid w:val="461B2A19"/>
    <w:rsid w:val="469B615F"/>
    <w:rsid w:val="48B7325C"/>
    <w:rsid w:val="48F01CC9"/>
    <w:rsid w:val="4A334B46"/>
    <w:rsid w:val="4A816571"/>
    <w:rsid w:val="4BA25C37"/>
    <w:rsid w:val="4C0A663D"/>
    <w:rsid w:val="4C832082"/>
    <w:rsid w:val="4D810521"/>
    <w:rsid w:val="4DEF2F2B"/>
    <w:rsid w:val="4FCC40E2"/>
    <w:rsid w:val="502B1254"/>
    <w:rsid w:val="509160F1"/>
    <w:rsid w:val="50F30959"/>
    <w:rsid w:val="515D0D25"/>
    <w:rsid w:val="51B93959"/>
    <w:rsid w:val="522653DB"/>
    <w:rsid w:val="52B26B1E"/>
    <w:rsid w:val="52D720BB"/>
    <w:rsid w:val="53FD2E9D"/>
    <w:rsid w:val="54612F90"/>
    <w:rsid w:val="548B28B5"/>
    <w:rsid w:val="554B5FA7"/>
    <w:rsid w:val="556A468F"/>
    <w:rsid w:val="5583520F"/>
    <w:rsid w:val="563B5198"/>
    <w:rsid w:val="571D55A4"/>
    <w:rsid w:val="5868029D"/>
    <w:rsid w:val="58FB7534"/>
    <w:rsid w:val="5A613220"/>
    <w:rsid w:val="5ACB0A6D"/>
    <w:rsid w:val="5ADF01E6"/>
    <w:rsid w:val="5AE20209"/>
    <w:rsid w:val="5D554EC4"/>
    <w:rsid w:val="5F297729"/>
    <w:rsid w:val="60AD6D24"/>
    <w:rsid w:val="61635D00"/>
    <w:rsid w:val="61A136F0"/>
    <w:rsid w:val="61B56433"/>
    <w:rsid w:val="61EE364F"/>
    <w:rsid w:val="62952E0C"/>
    <w:rsid w:val="63026951"/>
    <w:rsid w:val="636642D8"/>
    <w:rsid w:val="65127899"/>
    <w:rsid w:val="655C6B15"/>
    <w:rsid w:val="659110B8"/>
    <w:rsid w:val="66255B8C"/>
    <w:rsid w:val="67155D5F"/>
    <w:rsid w:val="69B14B2C"/>
    <w:rsid w:val="69DE49BF"/>
    <w:rsid w:val="6B6C7170"/>
    <w:rsid w:val="6DB779E0"/>
    <w:rsid w:val="6DBD3D80"/>
    <w:rsid w:val="6E4465EA"/>
    <w:rsid w:val="6F265412"/>
    <w:rsid w:val="70DD5268"/>
    <w:rsid w:val="71066589"/>
    <w:rsid w:val="71DF60B5"/>
    <w:rsid w:val="73413870"/>
    <w:rsid w:val="742171A6"/>
    <w:rsid w:val="7426655C"/>
    <w:rsid w:val="76FD5426"/>
    <w:rsid w:val="77011515"/>
    <w:rsid w:val="792A72A5"/>
    <w:rsid w:val="7A35574A"/>
    <w:rsid w:val="7B4B4511"/>
    <w:rsid w:val="7B522A6F"/>
    <w:rsid w:val="7B812207"/>
    <w:rsid w:val="7B8518ED"/>
    <w:rsid w:val="7CF5E424"/>
    <w:rsid w:val="7D120184"/>
    <w:rsid w:val="7D7B4B66"/>
    <w:rsid w:val="7DA060CE"/>
    <w:rsid w:val="7FAB3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line="580" w:lineRule="exact"/>
      <w:ind w:firstLine="0" w:firstLineChars="0"/>
      <w:jc w:val="center"/>
      <w:outlineLvl w:val="1"/>
    </w:pPr>
    <w:rPr>
      <w:rFonts w:ascii="宋体" w:hAnsi="宋体" w:eastAsia="方正楷体_GBK" w:cs="Times New Roman"/>
      <w:sz w:val="32"/>
      <w:szCs w:val="32"/>
    </w:rPr>
  </w:style>
  <w:style w:type="character" w:default="1" w:styleId="10">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rPr>
      <w:rFonts w:ascii="等线" w:hAnsi="等线" w:eastAsia="等线" w:cs="Times New Roman"/>
      <w:szCs w:val="22"/>
    </w:rPr>
  </w:style>
  <w:style w:type="paragraph" w:styleId="5">
    <w:name w:val="toc 5"/>
    <w:basedOn w:val="1"/>
    <w:next w:val="1"/>
    <w:qFormat/>
    <w:uiPriority w:val="0"/>
    <w:pPr>
      <w:ind w:left="1680" w:leftChars="800"/>
    </w:pPr>
    <w:rPr>
      <w:rFonts w:cs="Times New Roman"/>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1">
    <w:name w:val="p0 New New New New New New New New New New New New New"/>
    <w:basedOn w:val="1"/>
    <w:qFormat/>
    <w:uiPriority w:val="0"/>
    <w:pPr>
      <w:widowControl/>
    </w:pPr>
    <w:rPr>
      <w:rFonts w:hint="eastAsia" w:ascii="Calibri" w:hAnsi="Calibri" w:eastAsia="宋体" w:cs="Times New Roman"/>
      <w:szCs w:val="20"/>
    </w:rPr>
  </w:style>
  <w:style w:type="paragraph" w:customStyle="1" w:styleId="12">
    <w:name w:val="p0 New New"/>
    <w:basedOn w:val="1"/>
    <w:qFormat/>
    <w:uiPriority w:val="0"/>
    <w:pPr>
      <w:widowControl/>
    </w:pPr>
    <w:rPr>
      <w:rFonts w:hint="eastAsia" w:ascii="Calibri" w:hAnsi="Calibri" w:eastAsia="宋体" w:cs="Times New Roman"/>
      <w:szCs w:val="20"/>
    </w:rPr>
  </w:style>
  <w:style w:type="paragraph" w:customStyle="1" w:styleId="13">
    <w:name w:val="List Paragraph"/>
    <w:basedOn w:val="1"/>
    <w:qFormat/>
    <w:uiPriority w:val="34"/>
    <w:pPr>
      <w:ind w:firstLine="420" w:firstLineChars="200"/>
    </w:pPr>
  </w:style>
  <w:style w:type="paragraph" w:customStyle="1" w:styleId="14">
    <w:name w:val="p0 New New New New New New New"/>
    <w:basedOn w:val="1"/>
    <w:qFormat/>
    <w:uiPriority w:val="0"/>
    <w:pPr>
      <w:widowControl/>
    </w:pPr>
    <w:rPr>
      <w:rFonts w:hint="eastAsia" w:ascii="Calibri" w:hAnsi="Calibri" w:eastAsia="宋体" w:cs="Times New Roman"/>
      <w:szCs w:val="20"/>
    </w:rPr>
  </w:style>
  <w:style w:type="paragraph" w:customStyle="1" w:styleId="15">
    <w:name w:val="p15"/>
    <w:basedOn w:val="1"/>
    <w:qFormat/>
    <w:uiPriority w:val="0"/>
    <w:pPr>
      <w:widowControl/>
      <w:spacing w:before="100" w:after="100"/>
      <w:jc w:val="left"/>
    </w:pPr>
    <w:rPr>
      <w:rFonts w:ascii="宋体" w:hAnsi="宋体" w:eastAsia="宋体" w:cs="宋体"/>
      <w:kern w:val="0"/>
      <w:sz w:val="24"/>
      <w:szCs w:val="24"/>
    </w:rPr>
  </w:style>
  <w:style w:type="paragraph" w:customStyle="1" w:styleId="16">
    <w:name w:val="p0 New New New New New New New New New New New New New New"/>
    <w:basedOn w:val="1"/>
    <w:qFormat/>
    <w:uiPriority w:val="0"/>
    <w:pPr>
      <w:widowControl/>
    </w:pPr>
    <w:rPr>
      <w:rFonts w:hint="eastAsia" w:ascii="Calibri" w:hAnsi="Calibri" w:eastAsia="宋体" w:cs="Times New Roman"/>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22</Pages>
  <Words>9459</Words>
  <Characters>9541</Characters>
  <Lines>0</Lines>
  <Paragraphs>0</Paragraphs>
  <TotalTime>2</TotalTime>
  <ScaleCrop>false</ScaleCrop>
  <LinksUpToDate>false</LinksUpToDate>
  <CharactersWithSpaces>9659</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2024-04-17T11:43:00Z</dcterms:created>
  <dc:creator>Administrator</dc:creator>
  <cp:lastModifiedBy>欢乐马</cp:lastModifiedBy>
  <cp:lastPrinted>2024-06-05T09:45:00Z</cp:lastPrinted>
  <dcterms:modified xsi:type="dcterms:W3CDTF">2025-02-06T01:57:23Z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2260B5CBBD394BC5AE2730D243236F9F_12</vt:lpwstr>
  </property>
</Properties>
</file>