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kinsoku/>
        <w:wordWrap/>
        <w:overflowPunct/>
        <w:topLinePunct w:val="0"/>
        <w:autoSpaceDE/>
        <w:autoSpaceDN/>
        <w:bidi w:val="0"/>
        <w:adjustRightInd/>
        <w:snapToGrid/>
        <w:spacing w:after="0" w:line="590" w:lineRule="exact"/>
        <w:jc w:val="center"/>
        <w:textAlignment w:val="auto"/>
        <w:rPr>
          <w:rFonts w:hint="eastAsia" w:ascii="方正小标宋简体" w:hAnsi="方正小标宋简体" w:eastAsia="方正小标宋简体" w:cs="方正小标宋简体"/>
          <w:spacing w:val="0"/>
          <w:sz w:val="44"/>
          <w:szCs w:val="44"/>
          <w:lang w:val="en-US" w:eastAsia="zh-CN"/>
        </w:rPr>
      </w:pPr>
      <w:r>
        <w:rPr>
          <w:rFonts w:hint="default" w:ascii="Times New Roman" w:hAnsi="Times New Roman" w:eastAsia="方正小标宋_GBK" w:cs="方正小标宋_GBK"/>
          <w:sz w:val="44"/>
          <w:szCs w:val="44"/>
          <w:highlight w:val="none"/>
          <w:u w:val="none"/>
          <w:lang w:eastAsia="zh-CN"/>
        </w:rPr>
        <w:t>《</w:t>
      </w:r>
      <w:r>
        <w:rPr>
          <w:rFonts w:hint="eastAsia" w:ascii="方正小标宋简体" w:hAnsi="方正小标宋简体" w:eastAsia="方正小标宋简体" w:cs="方正小标宋简体"/>
          <w:spacing w:val="0"/>
          <w:sz w:val="44"/>
          <w:szCs w:val="44"/>
          <w:lang w:val="en-US" w:eastAsia="zh-CN"/>
        </w:rPr>
        <w:t>云南省会计人员高级职称评价标准条件</w:t>
      </w:r>
    </w:p>
    <w:p>
      <w:pPr>
        <w:keepNext w:val="0"/>
        <w:keepLines w:val="0"/>
        <w:pageBreakBefore w:val="0"/>
        <w:numPr>
          <w:ilvl w:val="0"/>
          <w:numId w:val="0"/>
        </w:numPr>
        <w:kinsoku/>
        <w:wordWrap/>
        <w:overflowPunct/>
        <w:topLinePunct w:val="0"/>
        <w:autoSpaceDE/>
        <w:autoSpaceDN/>
        <w:bidi w:val="0"/>
        <w:adjustRightInd/>
        <w:snapToGrid/>
        <w:spacing w:after="0" w:line="590" w:lineRule="exact"/>
        <w:jc w:val="center"/>
        <w:textAlignment w:val="auto"/>
        <w:rPr>
          <w:rFonts w:hint="eastAsia" w:ascii="Times New Roman" w:hAnsi="Times New Roman" w:eastAsia="方正小标宋_GBK" w:cs="方正小标宋_GBK"/>
          <w:sz w:val="44"/>
          <w:szCs w:val="44"/>
          <w:highlight w:val="none"/>
          <w:u w:val="none"/>
        </w:rPr>
      </w:pPr>
      <w:r>
        <w:rPr>
          <w:rFonts w:hint="eastAsia" w:ascii="方正小标宋简体" w:hAnsi="方正小标宋简体" w:eastAsia="方正小标宋简体" w:cs="方正小标宋简体"/>
          <w:spacing w:val="0"/>
          <w:sz w:val="44"/>
          <w:szCs w:val="44"/>
          <w:lang w:val="en-US" w:eastAsia="zh-CN"/>
        </w:rPr>
        <w:t>（试行）》</w:t>
      </w:r>
      <w:r>
        <w:rPr>
          <w:rFonts w:hint="eastAsia" w:ascii="Times New Roman" w:hAnsi="Times New Roman" w:eastAsia="方正小标宋_GBK" w:cs="方正小标宋_GBK"/>
          <w:sz w:val="44"/>
          <w:szCs w:val="44"/>
          <w:highlight w:val="none"/>
          <w:u w:val="none"/>
        </w:rPr>
        <w:t>政策解读</w:t>
      </w:r>
    </w:p>
    <w:p>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方正仿宋_GBK" w:hAnsi="方正仿宋_GBK" w:eastAsia="方正仿宋_GBK" w:cs="方正仿宋_GBK"/>
          <w:sz w:val="32"/>
          <w:szCs w:val="32"/>
          <w:u w:val="none"/>
          <w:lang w:val="en-US" w:eastAsia="zh-CN"/>
        </w:rPr>
      </w:pPr>
    </w:p>
    <w:p>
      <w:pPr>
        <w:keepNext w:val="0"/>
        <w:keepLines w:val="0"/>
        <w:pageBreakBefore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方正仿宋_GBK" w:cs="Times New Roman"/>
          <w:sz w:val="32"/>
          <w:szCs w:val="32"/>
          <w:u w:val="none"/>
        </w:rPr>
      </w:pPr>
      <w:r>
        <w:rPr>
          <w:rFonts w:hint="eastAsia" w:ascii="方正仿宋_GBK" w:hAnsi="方正仿宋_GBK" w:eastAsia="方正仿宋_GBK" w:cs="方正仿宋_GBK"/>
          <w:sz w:val="32"/>
          <w:szCs w:val="32"/>
          <w:u w:val="none"/>
          <w:lang w:val="en-US" w:eastAsia="zh-CN"/>
        </w:rPr>
        <w:t xml:space="preserve"> </w:t>
      </w:r>
      <w:r>
        <w:rPr>
          <w:rFonts w:hint="default" w:ascii="Times New Roman" w:hAnsi="Times New Roman" w:eastAsia="方正仿宋_GBK" w:cs="Times New Roman"/>
          <w:sz w:val="32"/>
          <w:szCs w:val="32"/>
          <w:u w:val="none"/>
          <w:lang w:val="en-US" w:eastAsia="zh-CN"/>
        </w:rPr>
        <w:t>日前，云南省人力资源和社会保障厅、云南省财政厅印发了</w:t>
      </w:r>
      <w:r>
        <w:rPr>
          <w:rFonts w:hint="default" w:ascii="Times New Roman" w:hAnsi="Times New Roman" w:eastAsia="方正仿宋_GBK" w:cs="Times New Roman"/>
          <w:sz w:val="32"/>
          <w:szCs w:val="32"/>
          <w:u w:val="none"/>
          <w:lang w:val="zh-TW" w:eastAsia="zh-CN"/>
        </w:rPr>
        <w:t>《</w:t>
      </w:r>
      <w:r>
        <w:rPr>
          <w:rFonts w:hint="default" w:ascii="Times New Roman" w:hAnsi="Times New Roman" w:eastAsia="方正仿宋_GBK" w:cs="Times New Roman"/>
          <w:spacing w:val="0"/>
          <w:sz w:val="32"/>
          <w:szCs w:val="32"/>
          <w:lang w:val="en-US" w:eastAsia="zh-CN"/>
        </w:rPr>
        <w:t>云南省会计人员高级职称评价标准条件（试行）</w:t>
      </w:r>
      <w:r>
        <w:rPr>
          <w:rFonts w:hint="default" w:ascii="Times New Roman" w:hAnsi="Times New Roman" w:eastAsia="方正仿宋_GBK" w:cs="Times New Roman"/>
          <w:sz w:val="32"/>
          <w:szCs w:val="32"/>
          <w:u w:val="none"/>
          <w:lang w:val="en-US" w:eastAsia="zh-CN"/>
        </w:rPr>
        <w:t>》</w:t>
      </w:r>
      <w:r>
        <w:rPr>
          <w:rFonts w:hint="eastAsia" w:ascii="Times New Roman" w:hAnsi="Times New Roman" w:eastAsia="方正仿宋_GBK" w:cs="方正仿宋_GBK"/>
          <w:sz w:val="32"/>
          <w:szCs w:val="32"/>
          <w:highlight w:val="none"/>
          <w:u w:val="none"/>
          <w:lang w:val="en-US" w:eastAsia="zh-CN"/>
        </w:rPr>
        <w:t>（云人社〔2022〕5号）</w:t>
      </w:r>
      <w:r>
        <w:rPr>
          <w:rFonts w:hint="eastAsia" w:ascii="Times New Roman" w:hAnsi="Times New Roman" w:eastAsia="方正仿宋_GBK" w:cs="Times New Roman"/>
          <w:sz w:val="32"/>
          <w:szCs w:val="32"/>
          <w:u w:val="none"/>
          <w:lang w:val="en-US" w:eastAsia="zh-CN"/>
        </w:rPr>
        <w:t>（</w:t>
      </w:r>
      <w:r>
        <w:rPr>
          <w:rFonts w:hint="default" w:ascii="Times New Roman" w:hAnsi="Times New Roman" w:eastAsia="方正仿宋_GBK" w:cs="Times New Roman"/>
          <w:sz w:val="32"/>
          <w:szCs w:val="32"/>
          <w:u w:val="none"/>
          <w:lang w:val="en-US" w:eastAsia="zh-CN"/>
        </w:rPr>
        <w:t>以下简称《标准条件》</w:t>
      </w:r>
      <w:r>
        <w:rPr>
          <w:rFonts w:hint="eastAsia" w:ascii="Times New Roman" w:hAnsi="Times New Roman" w:eastAsia="方正仿宋_GBK" w:cs="Times New Roman"/>
          <w:sz w:val="32"/>
          <w:szCs w:val="32"/>
          <w:u w:val="none"/>
          <w:lang w:val="en-US" w:eastAsia="zh-CN"/>
        </w:rPr>
        <w:t>）</w:t>
      </w:r>
      <w:r>
        <w:rPr>
          <w:rFonts w:hint="default" w:ascii="Times New Roman" w:hAnsi="Times New Roman" w:eastAsia="方正仿宋_GBK" w:cs="Times New Roman"/>
          <w:sz w:val="32"/>
          <w:szCs w:val="32"/>
          <w:u w:val="none"/>
          <w:lang w:val="zh-TW" w:eastAsia="zh-CN"/>
        </w:rPr>
        <w:t>，</w:t>
      </w:r>
      <w:r>
        <w:rPr>
          <w:rFonts w:hint="default" w:ascii="Times New Roman" w:hAnsi="Times New Roman" w:eastAsia="方正仿宋_GBK" w:cs="Times New Roman"/>
          <w:sz w:val="32"/>
          <w:szCs w:val="32"/>
          <w:u w:val="none"/>
          <w:lang w:val="en-US" w:eastAsia="zh-CN"/>
        </w:rPr>
        <w:t>为便于各级人力资源社会保障部门、各级财政部门、相关单位和广大专业技术人员更好地理解、把握《标准条件》的内容和要求，现对《标准条件》有关政策进行解读</w:t>
      </w:r>
      <w:r>
        <w:rPr>
          <w:rFonts w:hint="default" w:ascii="Times New Roman" w:hAnsi="Times New Roman" w:eastAsia="方正仿宋_GBK" w:cs="Times New Roman"/>
          <w:sz w:val="32"/>
          <w:szCs w:val="32"/>
          <w:u w:val="none"/>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问：《标准条件》出台的政策背景是什么？</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32"/>
          <w:szCs w:val="32"/>
          <w:lang w:val="en-US" w:eastAsia="zh-CN"/>
          <w14:textFill>
            <w14:solidFill>
              <w14:schemeClr w14:val="tx1"/>
            </w14:solidFill>
          </w14:textFill>
        </w:rPr>
        <w:t>答：</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近年来，中央和省委省政府相继出台了一系列关于深化职称制度改革的政策措施，提出要健全职称制度体系，完善职称评价标准，创新职称评价机制。</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为进一步深化我省会计职称制度改革，客观公正地评价会计专业技术人员的能力水平和业绩贡献，促进全省会计专业技术人才队伍建设和会计事业发展，根据</w:t>
      </w:r>
      <w:r>
        <w:rPr>
          <w:rFonts w:hint="default" w:ascii="Times New Roman" w:hAnsi="Times New Roman" w:eastAsia="方正仿宋_GBK" w:cs="Times New Roman"/>
          <w:color w:val="000000" w:themeColor="text1"/>
          <w:spacing w:val="0"/>
          <w:sz w:val="32"/>
          <w:szCs w:val="32"/>
          <w:lang w:val="en-US" w:eastAsia="zh-CN"/>
          <w14:textFill>
            <w14:solidFill>
              <w14:schemeClr w14:val="tx1"/>
            </w14:solidFill>
          </w14:textFill>
        </w:rPr>
        <w:t>《人力资源社会保障部</w:t>
      </w:r>
      <w:r>
        <w:rPr>
          <w:rFonts w:hint="eastAsia" w:ascii="Times New Roman" w:hAnsi="Times New Roman" w:eastAsia="方正仿宋_GBK" w:cs="Times New Roman"/>
          <w:color w:val="000000" w:themeColor="text1"/>
          <w:spacing w:val="0"/>
          <w:sz w:val="32"/>
          <w:szCs w:val="32"/>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pacing w:val="0"/>
          <w:sz w:val="32"/>
          <w:szCs w:val="32"/>
          <w:lang w:val="en-US" w:eastAsia="zh-CN"/>
          <w14:textFill>
            <w14:solidFill>
              <w14:schemeClr w14:val="tx1"/>
            </w14:solidFill>
          </w14:textFill>
        </w:rPr>
        <w:t>财政部关于深化会计人员职称制度改革的指导意见》（人社部发〔2019〕8号）</w:t>
      </w:r>
      <w:r>
        <w:rPr>
          <w:rFonts w:hint="eastAsia" w:ascii="Times New Roman" w:hAnsi="Times New Roman" w:eastAsia="方正仿宋_GBK" w:cs="Times New Roman"/>
          <w:color w:val="000000" w:themeColor="text1"/>
          <w:spacing w:val="0"/>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u w:val="none"/>
          <w:lang w:val="en-US" w:eastAsia="zh-CN"/>
          <w14:textFill>
            <w14:solidFill>
              <w14:schemeClr w14:val="tx1"/>
            </w14:solidFill>
          </w14:textFill>
        </w:rPr>
        <w:t>中共云南省委办公厅</w:t>
      </w:r>
      <w:r>
        <w:rPr>
          <w:rFonts w:hint="eastAsia" w:ascii="Times New Roman" w:hAnsi="Times New Roman" w:eastAsia="方正仿宋_GBK"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2"/>
          <w:szCs w:val="32"/>
          <w:u w:val="none"/>
          <w:lang w:val="en-US" w:eastAsia="zh-CN"/>
          <w14:textFill>
            <w14:solidFill>
              <w14:schemeClr w14:val="tx1"/>
            </w14:solidFill>
          </w14:textFill>
        </w:rPr>
        <w:t>云南省人民政府办公厅《关于深化职称制度改革的实施意见》（云办发〔2017〕29号）等精神和国家、云南省关于职称申报评审管理相关规定</w:t>
      </w:r>
      <w:r>
        <w:rPr>
          <w:rFonts w:hint="default" w:ascii="Times New Roman" w:hAnsi="Times New Roman" w:eastAsia="方正仿宋_GBK" w:cs="Times New Roman"/>
          <w:color w:val="000000" w:themeColor="text1"/>
          <w:spacing w:val="0"/>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结合全省</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会计</w:t>
      </w:r>
      <w:r>
        <w:rPr>
          <w:rFonts w:hint="default" w:ascii="Times New Roman" w:hAnsi="Times New Roman" w:eastAsia="方正仿宋_GBK" w:cs="Times New Roman"/>
          <w:color w:val="000000" w:themeColor="text1"/>
          <w:sz w:val="32"/>
          <w:szCs w:val="32"/>
          <w14:textFill>
            <w14:solidFill>
              <w14:schemeClr w14:val="tx1"/>
            </w14:solidFill>
          </w14:textFill>
        </w:rPr>
        <w:t>职称评审</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工作</w:t>
      </w:r>
      <w:r>
        <w:rPr>
          <w:rFonts w:hint="default" w:ascii="Times New Roman" w:hAnsi="Times New Roman" w:eastAsia="方正仿宋_GBK" w:cs="Times New Roman"/>
          <w:color w:val="000000" w:themeColor="text1"/>
          <w:sz w:val="32"/>
          <w:szCs w:val="32"/>
          <w14:textFill>
            <w14:solidFill>
              <w14:schemeClr w14:val="tx1"/>
            </w14:solidFill>
          </w14:textFill>
        </w:rPr>
        <w:t>实际，</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在认真调研、系统梳理政策、广泛听取意见、充分论证的基础上，研究制定了本</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标准</w:t>
      </w:r>
      <w:r>
        <w:rPr>
          <w:rFonts w:hint="default" w:ascii="Times New Roman" w:hAnsi="Times New Roman" w:eastAsia="方正仿宋_GBK" w:cs="Times New Roman"/>
          <w:color w:val="000000" w:themeColor="text1"/>
          <w:sz w:val="32"/>
          <w:szCs w:val="32"/>
          <w14:textFill>
            <w14:solidFill>
              <w14:schemeClr w14:val="tx1"/>
            </w14:solidFill>
          </w14:textFill>
        </w:rPr>
        <w:t>条件》</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问：《标准条件》主要内容是什么？</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sz w:val="32"/>
          <w:szCs w:val="32"/>
          <w:u w:val="none"/>
          <w:lang w:val="en-US" w:eastAsia="zh-CN"/>
        </w:rPr>
        <w:t>答：《标准条件》共六章。主要内容包括：</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600" w:lineRule="exact"/>
        <w:ind w:left="0" w:leftChars="0" w:firstLine="640" w:firstLineChars="200"/>
        <w:jc w:val="both"/>
        <w:textAlignment w:val="auto"/>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lang w:val="en-US" w:eastAsia="zh-CN"/>
        </w:rPr>
        <w:t>第一章为总则，</w:t>
      </w:r>
      <w:r>
        <w:rPr>
          <w:rFonts w:hint="default" w:ascii="Times New Roman" w:hAnsi="Times New Roman" w:eastAsia="方正仿宋_GBK" w:cs="Times New Roman"/>
          <w:spacing w:val="0"/>
          <w:sz w:val="32"/>
          <w:szCs w:val="32"/>
        </w:rPr>
        <w:t>对《</w:t>
      </w:r>
      <w:r>
        <w:rPr>
          <w:rFonts w:hint="default" w:ascii="Times New Roman" w:hAnsi="Times New Roman" w:eastAsia="方正仿宋_GBK" w:cs="Times New Roman"/>
          <w:spacing w:val="0"/>
          <w:sz w:val="32"/>
          <w:szCs w:val="32"/>
          <w:lang w:eastAsia="zh-CN"/>
        </w:rPr>
        <w:t>标准</w:t>
      </w:r>
      <w:r>
        <w:rPr>
          <w:rFonts w:hint="default" w:ascii="Times New Roman" w:hAnsi="Times New Roman" w:eastAsia="方正仿宋_GBK" w:cs="Times New Roman"/>
          <w:spacing w:val="0"/>
          <w:sz w:val="32"/>
          <w:szCs w:val="32"/>
        </w:rPr>
        <w:t>条件》制定的目的、意义、</w:t>
      </w:r>
      <w:r>
        <w:rPr>
          <w:rFonts w:hint="default" w:ascii="Times New Roman" w:hAnsi="Times New Roman" w:eastAsia="方正仿宋_GBK" w:cs="Times New Roman"/>
          <w:spacing w:val="0"/>
          <w:sz w:val="32"/>
          <w:szCs w:val="32"/>
          <w:lang w:eastAsia="zh-CN"/>
        </w:rPr>
        <w:t>依据，会计人员高级职称的</w:t>
      </w:r>
      <w:r>
        <w:rPr>
          <w:rFonts w:hint="default" w:ascii="Times New Roman" w:hAnsi="Times New Roman" w:eastAsia="方正仿宋_GBK" w:cs="Times New Roman"/>
          <w:spacing w:val="0"/>
          <w:sz w:val="32"/>
          <w:szCs w:val="32"/>
        </w:rPr>
        <w:t>层级</w:t>
      </w:r>
      <w:r>
        <w:rPr>
          <w:rFonts w:hint="default" w:ascii="Times New Roman" w:hAnsi="Times New Roman" w:eastAsia="方正仿宋_GBK" w:cs="Times New Roman"/>
          <w:spacing w:val="0"/>
          <w:sz w:val="32"/>
          <w:szCs w:val="32"/>
          <w:lang w:eastAsia="zh-CN"/>
        </w:rPr>
        <w:t>分类、评价方式</w:t>
      </w:r>
      <w:r>
        <w:rPr>
          <w:rFonts w:hint="default" w:ascii="Times New Roman" w:hAnsi="Times New Roman" w:eastAsia="方正仿宋_GBK" w:cs="Times New Roman"/>
          <w:spacing w:val="0"/>
          <w:sz w:val="32"/>
          <w:szCs w:val="32"/>
        </w:rPr>
        <w:t>等进行了说明。</w:t>
      </w:r>
    </w:p>
    <w:p>
      <w:pPr>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0" w:firstLineChars="200"/>
        <w:jc w:val="both"/>
        <w:textAlignment w:val="auto"/>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spacing w:val="0"/>
          <w:sz w:val="32"/>
          <w:szCs w:val="32"/>
          <w:lang w:val="en-US" w:eastAsia="zh-CN"/>
        </w:rPr>
        <w:t>第二章为适用范围，</w:t>
      </w:r>
      <w:r>
        <w:rPr>
          <w:rFonts w:hint="default" w:ascii="Times New Roman" w:hAnsi="Times New Roman" w:eastAsia="方正仿宋_GBK" w:cs="Times New Roman"/>
          <w:spacing w:val="0"/>
          <w:sz w:val="32"/>
          <w:szCs w:val="32"/>
        </w:rPr>
        <w:t>明确了《</w:t>
      </w:r>
      <w:r>
        <w:rPr>
          <w:rFonts w:hint="default" w:ascii="Times New Roman" w:hAnsi="Times New Roman" w:eastAsia="方正仿宋_GBK" w:cs="Times New Roman"/>
          <w:spacing w:val="0"/>
          <w:sz w:val="32"/>
          <w:szCs w:val="32"/>
          <w:lang w:eastAsia="zh-CN"/>
        </w:rPr>
        <w:t>标准</w:t>
      </w:r>
      <w:r>
        <w:rPr>
          <w:rFonts w:hint="default" w:ascii="Times New Roman" w:hAnsi="Times New Roman" w:eastAsia="方正仿宋_GBK" w:cs="Times New Roman"/>
          <w:spacing w:val="0"/>
          <w:sz w:val="32"/>
          <w:szCs w:val="32"/>
        </w:rPr>
        <w:t>条件》的人员和专业适用范围。</w:t>
      </w:r>
    </w:p>
    <w:p>
      <w:pPr>
        <w:pStyle w:val="2"/>
        <w:keepNext w:val="0"/>
        <w:keepLines w:val="0"/>
        <w:pageBreakBefore w:val="0"/>
        <w:widowControl w:val="0"/>
        <w:kinsoku/>
        <w:wordWrap/>
        <w:overflowPunct/>
        <w:topLinePunct w:val="0"/>
        <w:autoSpaceDE/>
        <w:autoSpaceDN/>
        <w:bidi w:val="0"/>
        <w:adjustRightInd w:val="0"/>
        <w:snapToGrid w:val="0"/>
        <w:spacing w:after="0" w:afterLines="0" w:line="600" w:lineRule="exact"/>
        <w:ind w:left="0" w:leftChars="0" w:firstLine="640" w:firstLineChars="200"/>
        <w:jc w:val="both"/>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val="en-US" w:eastAsia="zh-CN"/>
        </w:rPr>
        <w:t>第三章为申报条件，规定了申报会计专业高级职称必须具备的基本条件和相应学历资历条件。</w:t>
      </w:r>
    </w:p>
    <w:p>
      <w:pPr>
        <w:pStyle w:val="2"/>
        <w:keepNext w:val="0"/>
        <w:keepLines w:val="0"/>
        <w:pageBreakBefore w:val="0"/>
        <w:widowControl w:val="0"/>
        <w:kinsoku/>
        <w:wordWrap/>
        <w:overflowPunct/>
        <w:topLinePunct w:val="0"/>
        <w:autoSpaceDE/>
        <w:autoSpaceDN/>
        <w:bidi w:val="0"/>
        <w:adjustRightInd w:val="0"/>
        <w:snapToGrid w:val="0"/>
        <w:spacing w:after="0" w:afterLines="0" w:line="600" w:lineRule="exact"/>
        <w:ind w:left="0" w:leftChars="0" w:firstLine="640" w:firstLineChars="200"/>
        <w:jc w:val="both"/>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val="en-US" w:eastAsia="zh-CN"/>
        </w:rPr>
        <w:t>第四章为评审条件，对申报人员应具备的专业理论水平、业务经历和工作业绩、科研能力和研究成果进行了明确。</w:t>
      </w:r>
    </w:p>
    <w:p>
      <w:pPr>
        <w:pStyle w:val="2"/>
        <w:keepNext w:val="0"/>
        <w:keepLines w:val="0"/>
        <w:pageBreakBefore w:val="0"/>
        <w:widowControl w:val="0"/>
        <w:kinsoku/>
        <w:wordWrap/>
        <w:overflowPunct/>
        <w:topLinePunct w:val="0"/>
        <w:autoSpaceDE/>
        <w:autoSpaceDN/>
        <w:bidi w:val="0"/>
        <w:adjustRightInd w:val="0"/>
        <w:snapToGrid w:val="0"/>
        <w:spacing w:after="0" w:afterLines="0" w:line="600" w:lineRule="exact"/>
        <w:ind w:left="0" w:leftChars="0" w:firstLine="640" w:firstLineChars="200"/>
        <w:jc w:val="both"/>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val="en-US" w:eastAsia="zh-CN"/>
        </w:rPr>
        <w:t>第五章为特殊申报评审条件，对不符合学历资历条件，但业绩贡献突出，特殊申报评审正高级会计师职称的条件作了明确。</w:t>
      </w:r>
    </w:p>
    <w:p>
      <w:pPr>
        <w:keepNext w:val="0"/>
        <w:keepLines w:val="0"/>
        <w:pageBreakBefore w:val="0"/>
        <w:kinsoku/>
        <w:wordWrap/>
        <w:overflowPunct/>
        <w:topLinePunct w:val="0"/>
        <w:autoSpaceDE/>
        <w:autoSpaceDN/>
        <w:bidi w:val="0"/>
        <w:adjustRightInd w:val="0"/>
        <w:snapToGrid w:val="0"/>
        <w:spacing w:after="0" w:line="600" w:lineRule="exact"/>
        <w:ind w:left="0" w:firstLine="640" w:firstLineChars="200"/>
        <w:jc w:val="both"/>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val="en-US" w:eastAsia="zh-CN"/>
        </w:rPr>
        <w:t>第六章为附则，主要对违规违纪申报职称评审和转系列、职业资格对应评审作了具体明确，对</w:t>
      </w:r>
      <w:r>
        <w:rPr>
          <w:rFonts w:hint="default" w:ascii="Times New Roman" w:hAnsi="Times New Roman" w:eastAsia="方正仿宋_GBK" w:cs="Times New Roman"/>
          <w:spacing w:val="0"/>
          <w:sz w:val="32"/>
          <w:szCs w:val="32"/>
        </w:rPr>
        <w:t>有关词语和特定概念进行了</w:t>
      </w:r>
      <w:r>
        <w:rPr>
          <w:rFonts w:hint="default" w:ascii="Times New Roman" w:hAnsi="Times New Roman" w:eastAsia="方正仿宋_GBK" w:cs="Times New Roman"/>
          <w:spacing w:val="0"/>
          <w:sz w:val="32"/>
          <w:szCs w:val="32"/>
          <w:lang w:eastAsia="zh-CN"/>
        </w:rPr>
        <w:t>解释。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问：《标准条件》适用范围是什么？</w:t>
      </w:r>
    </w:p>
    <w:p>
      <w:pPr>
        <w:pStyle w:val="6"/>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default" w:ascii="Times New Roman" w:hAnsi="Times New Roman" w:eastAsia="方正仿宋_GBK" w:cs="Times New Roman"/>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sz w:val="32"/>
          <w:szCs w:val="32"/>
          <w:u w:val="none"/>
          <w:lang w:val="en-US" w:eastAsia="zh-CN"/>
        </w:rPr>
        <w:t>答：</w:t>
      </w:r>
      <w:r>
        <w:rPr>
          <w:rFonts w:hint="default" w:ascii="Times New Roman" w:hAnsi="Times New Roman" w:eastAsia="方正仿宋_GBK" w:cs="Times New Roman"/>
          <w:spacing w:val="0"/>
          <w:kern w:val="2"/>
          <w:sz w:val="32"/>
          <w:szCs w:val="32"/>
          <w:highlight w:val="none"/>
          <w:lang w:val="en-US" w:eastAsia="zh-CN" w:bidi="ar-SA"/>
        </w:rPr>
        <w:t>本《标准条件》适用于我省企业、事业单位、社会团体、个体经济组织以及自由职业者等，直接从事会计专业技术工作，符合本专业职称申报评价标准条件的在职在岗专业技术人员。</w:t>
      </w:r>
      <w:r>
        <w:rPr>
          <w:rFonts w:hint="default" w:ascii="Times New Roman" w:hAnsi="Times New Roman" w:eastAsia="方正仿宋_GBK" w:cs="Times New Roman"/>
          <w:color w:val="000000"/>
          <w:spacing w:val="14"/>
          <w:sz w:val="32"/>
          <w:szCs w:val="32"/>
          <w:lang w:val="en-US" w:eastAsia="zh-CN"/>
        </w:rPr>
        <w:t>离退休人员、</w:t>
      </w:r>
      <w:r>
        <w:rPr>
          <w:rFonts w:hint="default" w:ascii="Times New Roman" w:hAnsi="Times New Roman" w:eastAsia="方正仿宋_GBK" w:cs="Times New Roman"/>
          <w:spacing w:val="0"/>
          <w:kern w:val="2"/>
          <w:sz w:val="32"/>
          <w:szCs w:val="32"/>
          <w:highlight w:val="none"/>
          <w:lang w:val="en-US" w:eastAsia="zh-CN" w:bidi="ar-SA"/>
        </w:rPr>
        <w:t>公务员不得申报参加职称评审。</w:t>
      </w:r>
      <w:r>
        <w:rPr>
          <w:rFonts w:hint="default" w:ascii="Times New Roman" w:hAnsi="Times New Roman" w:eastAsia="方正仿宋_GBK" w:cs="Times New Roman"/>
          <w:color w:val="000000" w:themeColor="text1"/>
          <w:spacing w:val="0"/>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公务员和参公管理事业单位人员符合报考条件的可以参加全国会计专业技术资格考试，但不得参加会计人员职称评审）。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问：如何申报参加高级会计师（副高级）职称评审？</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sz w:val="32"/>
          <w:szCs w:val="32"/>
        </w:rPr>
        <w:t>答：按照国家有关规定，高级</w:t>
      </w:r>
      <w:r>
        <w:rPr>
          <w:rFonts w:hint="default" w:ascii="Times New Roman" w:hAnsi="Times New Roman" w:eastAsia="方正仿宋_GBK" w:cs="Times New Roman"/>
          <w:sz w:val="32"/>
          <w:szCs w:val="32"/>
          <w:lang w:eastAsia="zh-CN"/>
        </w:rPr>
        <w:t>会计</w:t>
      </w:r>
      <w:r>
        <w:rPr>
          <w:rFonts w:hint="default" w:ascii="Times New Roman" w:hAnsi="Times New Roman" w:eastAsia="方正仿宋_GBK" w:cs="Times New Roman"/>
          <w:sz w:val="32"/>
          <w:szCs w:val="32"/>
        </w:rPr>
        <w:t>师（副高级）职称实行</w:t>
      </w:r>
      <w:r>
        <w:rPr>
          <w:rFonts w:hint="default" w:ascii="Times New Roman" w:hAnsi="Times New Roman" w:eastAsia="方正仿宋_GBK" w:cs="Times New Roman"/>
          <w:sz w:val="32"/>
          <w:szCs w:val="32"/>
          <w:lang w:eastAsia="zh-CN"/>
        </w:rPr>
        <w:t>考试与评审相结合</w:t>
      </w:r>
      <w:r>
        <w:rPr>
          <w:rFonts w:hint="default" w:ascii="Times New Roman" w:hAnsi="Times New Roman" w:eastAsia="方正仿宋_GBK" w:cs="Times New Roman"/>
          <w:sz w:val="32"/>
          <w:szCs w:val="32"/>
        </w:rPr>
        <w:t>的方</w:t>
      </w:r>
      <w:r>
        <w:rPr>
          <w:rFonts w:hint="default" w:ascii="Times New Roman" w:hAnsi="Times New Roman" w:eastAsia="方正仿宋_GBK" w:cs="Times New Roman"/>
          <w:sz w:val="32"/>
          <w:szCs w:val="32"/>
          <w:lang w:eastAsia="zh-CN"/>
        </w:rPr>
        <w:t>式</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pacing w:val="0"/>
          <w:kern w:val="2"/>
          <w:sz w:val="32"/>
          <w:szCs w:val="32"/>
          <w:highlight w:val="none"/>
          <w:lang w:val="en-US" w:eastAsia="zh-CN" w:bidi="ar-SA"/>
        </w:rPr>
        <w:t>申报高级会计师评审，需</w:t>
      </w:r>
      <w:r>
        <w:rPr>
          <w:rFonts w:hint="default" w:ascii="Times New Roman" w:hAnsi="Times New Roman" w:eastAsia="方正仿宋_GBK" w:cs="Times New Roman"/>
          <w:sz w:val="32"/>
          <w:szCs w:val="32"/>
        </w:rPr>
        <w:t>参加</w:t>
      </w:r>
      <w:r>
        <w:rPr>
          <w:rFonts w:hint="default" w:ascii="Times New Roman" w:hAnsi="Times New Roman" w:eastAsia="方正仿宋_GBK" w:cs="Times New Roman"/>
          <w:sz w:val="32"/>
          <w:szCs w:val="32"/>
          <w:lang w:eastAsia="zh-CN"/>
        </w:rPr>
        <w:t>全国</w:t>
      </w:r>
      <w:r>
        <w:rPr>
          <w:rFonts w:hint="default" w:ascii="Times New Roman" w:hAnsi="Times New Roman" w:eastAsia="方正仿宋_GBK" w:cs="Times New Roman"/>
          <w:sz w:val="32"/>
          <w:szCs w:val="32"/>
        </w:rPr>
        <w:t>统一组织的资格考试，</w:t>
      </w:r>
      <w:r>
        <w:rPr>
          <w:rFonts w:hint="default" w:ascii="Times New Roman" w:hAnsi="Times New Roman" w:eastAsia="方正仿宋_GBK" w:cs="Times New Roman"/>
          <w:spacing w:val="0"/>
          <w:kern w:val="2"/>
          <w:sz w:val="32"/>
          <w:szCs w:val="32"/>
          <w:highlight w:val="none"/>
          <w:lang w:val="en-US" w:eastAsia="zh-CN" w:bidi="ar-SA"/>
        </w:rPr>
        <w:t>取得高级会计师资格考试成绩合格证明，</w:t>
      </w:r>
      <w:r>
        <w:rPr>
          <w:rFonts w:hint="default" w:ascii="Times New Roman" w:hAnsi="Times New Roman" w:eastAsia="方正仿宋_GBK" w:cs="Times New Roman"/>
          <w:sz w:val="32"/>
          <w:szCs w:val="32"/>
        </w:rPr>
        <w:t>在成绩有效期内按规定</w:t>
      </w:r>
      <w:r>
        <w:rPr>
          <w:rFonts w:hint="default" w:ascii="Times New Roman" w:hAnsi="Times New Roman" w:eastAsia="方正仿宋_GBK" w:cs="Times New Roman"/>
          <w:sz w:val="32"/>
          <w:szCs w:val="32"/>
          <w:lang w:eastAsia="zh-CN"/>
        </w:rPr>
        <w:t>及程序申报参加</w:t>
      </w:r>
      <w:r>
        <w:rPr>
          <w:rFonts w:hint="default" w:ascii="Times New Roman" w:hAnsi="Times New Roman" w:eastAsia="方正仿宋_GBK" w:cs="Times New Roman"/>
          <w:sz w:val="32"/>
          <w:szCs w:val="32"/>
        </w:rPr>
        <w:t>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问：从事与会</w:t>
      </w:r>
      <w:bookmarkStart w:id="0" w:name="_GoBack"/>
      <w:bookmarkEnd w:id="0"/>
      <w:r>
        <w:rPr>
          <w:rFonts w:hint="default" w:ascii="Times New Roman" w:hAnsi="Times New Roman" w:eastAsia="方正黑体_GBK" w:cs="方正黑体_GBK"/>
          <w:b w:val="0"/>
          <w:bCs w:val="0"/>
          <w:kern w:val="2"/>
          <w:sz w:val="32"/>
          <w:szCs w:val="32"/>
          <w:highlight w:val="none"/>
          <w:u w:val="none"/>
          <w:lang w:val="en-US" w:eastAsia="zh-CN" w:bidi="ar-SA"/>
        </w:rPr>
        <w:t>计师（高级会计师）职责相关工作年限如何界定？</w:t>
      </w:r>
    </w:p>
    <w:p>
      <w:pPr>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0" w:firstLineChars="200"/>
        <w:jc w:val="both"/>
        <w:textAlignment w:val="auto"/>
        <w:rPr>
          <w:rFonts w:hint="default" w:ascii="Times New Roman" w:hAnsi="Times New Roman" w:eastAsia="方正仿宋_GBK" w:cs="Times New Roman"/>
          <w:spacing w:val="0"/>
          <w:kern w:val="2"/>
          <w:sz w:val="32"/>
          <w:szCs w:val="32"/>
          <w:highlight w:val="none"/>
          <w:lang w:val="en-US" w:eastAsia="zh-CN" w:bidi="ar-SA"/>
        </w:rPr>
      </w:pPr>
      <w:r>
        <w:rPr>
          <w:rFonts w:hint="default" w:ascii="Times New Roman" w:hAnsi="Times New Roman" w:eastAsia="方正仿宋_GBK" w:cs="Times New Roman"/>
          <w:spacing w:val="0"/>
          <w:kern w:val="2"/>
          <w:sz w:val="32"/>
          <w:szCs w:val="32"/>
          <w:highlight w:val="none"/>
          <w:lang w:val="en-US" w:eastAsia="zh-CN" w:bidi="ar-SA"/>
        </w:rPr>
        <w:t>答：对事业单位申报人员，申报条件中要求的从事</w:t>
      </w:r>
      <w:r>
        <w:rPr>
          <w:rFonts w:hint="default" w:ascii="Times New Roman" w:hAnsi="Times New Roman" w:eastAsia="方正仿宋_GBK" w:cs="Times New Roman"/>
          <w:bCs/>
          <w:color w:val="000000"/>
          <w:sz w:val="32"/>
          <w:szCs w:val="32"/>
          <w:lang w:val="en-US" w:eastAsia="zh-CN"/>
        </w:rPr>
        <w:t>与会计师（高级会计师）职责相关</w:t>
      </w:r>
      <w:r>
        <w:rPr>
          <w:rFonts w:hint="default" w:ascii="Times New Roman" w:hAnsi="Times New Roman" w:eastAsia="方正仿宋_GBK" w:cs="Times New Roman"/>
          <w:spacing w:val="0"/>
          <w:kern w:val="2"/>
          <w:sz w:val="32"/>
          <w:szCs w:val="32"/>
          <w:highlight w:val="none"/>
          <w:lang w:val="en-US" w:eastAsia="zh-CN" w:bidi="ar-SA"/>
        </w:rPr>
        <w:t>工作年限是指相应层级职称聘任年限，需提供单位聘任本人为会计师（高级会计师）岗位的聘书、聘用合同或聘用证明等。其他会计人员以取得相应专业技术职称资格时起计算履职年限。</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问：《标准条件》最大的变化是什么？</w:t>
      </w:r>
    </w:p>
    <w:p>
      <w:pPr>
        <w:pStyle w:val="2"/>
        <w:keepNext w:val="0"/>
        <w:keepLines w:val="0"/>
        <w:pageBreakBefore w:val="0"/>
        <w:widowControl w:val="0"/>
        <w:kinsoku/>
        <w:wordWrap/>
        <w:overflowPunct/>
        <w:topLinePunct w:val="0"/>
        <w:autoSpaceDE/>
        <w:autoSpaceDN/>
        <w:bidi w:val="0"/>
        <w:adjustRightInd w:val="0"/>
        <w:snapToGrid w:val="0"/>
        <w:spacing w:after="0" w:afterLines="0" w:line="600" w:lineRule="exact"/>
        <w:ind w:left="0" w:leftChars="0" w:firstLine="640" w:firstLineChars="200"/>
        <w:jc w:val="both"/>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z w:val="32"/>
          <w:szCs w:val="32"/>
          <w:u w:val="none"/>
          <w:lang w:val="en-US" w:eastAsia="zh-CN"/>
        </w:rPr>
        <w:t>答：《标准条件》遵循了会计专业技术人员的职业特点和成长规律，</w:t>
      </w:r>
      <w:r>
        <w:rPr>
          <w:rFonts w:hint="default" w:ascii="Times New Roman" w:hAnsi="Times New Roman" w:eastAsia="方正仿宋_GBK" w:cs="Times New Roman"/>
          <w:kern w:val="0"/>
          <w:sz w:val="32"/>
          <w:szCs w:val="32"/>
        </w:rPr>
        <w:t>建立重在以品德、能力和业绩为导向的会计职称评价机制</w:t>
      </w:r>
      <w:r>
        <w:rPr>
          <w:rFonts w:hint="default" w:ascii="Times New Roman" w:hAnsi="Times New Roman" w:eastAsia="方正仿宋_GBK" w:cs="Times New Roman"/>
          <w:kern w:val="0"/>
          <w:sz w:val="32"/>
          <w:szCs w:val="32"/>
          <w:lang w:eastAsia="zh-CN"/>
        </w:rPr>
        <w:t>，</w:t>
      </w:r>
      <w:r>
        <w:rPr>
          <w:rFonts w:hint="default" w:ascii="Times New Roman" w:hAnsi="Times New Roman" w:eastAsia="方正仿宋_GBK" w:cs="Times New Roman"/>
          <w:sz w:val="32"/>
          <w:szCs w:val="32"/>
          <w:u w:val="none"/>
          <w:lang w:val="en-US" w:eastAsia="zh-CN"/>
        </w:rPr>
        <w:t>进一步体现了职称评价在会计人才培养中的激励和导向作用。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val="0"/>
          <w:bCs w:val="0"/>
          <w:color w:val="000000"/>
          <w:sz w:val="32"/>
          <w:szCs w:val="32"/>
          <w:lang w:val="en-US" w:eastAsia="zh-CN"/>
        </w:rPr>
      </w:pPr>
      <w:r>
        <w:rPr>
          <w:rFonts w:hint="default" w:ascii="Times New Roman" w:hAnsi="Times New Roman" w:eastAsia="方正仿宋_GBK" w:cs="Times New Roman"/>
          <w:b w:val="0"/>
          <w:bCs w:val="0"/>
          <w:color w:val="000000"/>
          <w:sz w:val="32"/>
          <w:szCs w:val="32"/>
          <w:lang w:val="en-US" w:eastAsia="zh-CN"/>
        </w:rPr>
        <w:t>一是放宽了申报条件。对专业和从事会计工作年限、</w:t>
      </w:r>
      <w:r>
        <w:rPr>
          <w:rFonts w:hint="default" w:ascii="Times New Roman" w:hAnsi="Times New Roman" w:eastAsia="方正仿宋_GBK" w:cs="Times New Roman"/>
          <w:b w:val="0"/>
          <w:bCs w:val="0"/>
          <w:sz w:val="32"/>
          <w:szCs w:val="32"/>
          <w:u w:val="none"/>
          <w:lang w:val="en-US" w:eastAsia="zh-CN"/>
        </w:rPr>
        <w:t>外语和计算机应用能力均</w:t>
      </w:r>
      <w:r>
        <w:rPr>
          <w:rFonts w:hint="default" w:ascii="Times New Roman" w:hAnsi="Times New Roman" w:eastAsia="方正仿宋_GBK" w:cs="Times New Roman"/>
          <w:b w:val="0"/>
          <w:bCs w:val="0"/>
          <w:color w:val="000000"/>
          <w:sz w:val="32"/>
          <w:szCs w:val="32"/>
          <w:lang w:val="en-US" w:eastAsia="zh-CN"/>
        </w:rPr>
        <w:t>不再作硬性</w:t>
      </w:r>
      <w:r>
        <w:rPr>
          <w:rFonts w:hint="default" w:ascii="Times New Roman" w:hAnsi="Times New Roman" w:eastAsia="方正仿宋_GBK" w:cs="Times New Roman"/>
          <w:b w:val="0"/>
          <w:bCs w:val="0"/>
          <w:sz w:val="32"/>
          <w:szCs w:val="32"/>
          <w:u w:val="none"/>
          <w:lang w:val="en-US" w:eastAsia="zh-CN"/>
        </w:rPr>
        <w:t>要求。</w:t>
      </w:r>
    </w:p>
    <w:p>
      <w:pPr>
        <w:pStyle w:val="2"/>
        <w:keepNext w:val="0"/>
        <w:keepLines w:val="0"/>
        <w:pageBreakBefore w:val="0"/>
        <w:widowControl w:val="0"/>
        <w:kinsoku/>
        <w:wordWrap/>
        <w:overflowPunct/>
        <w:topLinePunct w:val="0"/>
        <w:autoSpaceDE/>
        <w:autoSpaceDN/>
        <w:bidi w:val="0"/>
        <w:adjustRightInd w:val="0"/>
        <w:snapToGrid w:val="0"/>
        <w:spacing w:after="0" w:afterLines="0" w:line="600" w:lineRule="exact"/>
        <w:ind w:left="0" w:leftChars="0" w:firstLine="640" w:firstLineChars="200"/>
        <w:jc w:val="both"/>
        <w:textAlignment w:val="auto"/>
        <w:rPr>
          <w:rFonts w:hint="default" w:ascii="Times New Roman" w:hAnsi="Times New Roman" w:eastAsia="方正仿宋_GBK" w:cs="Times New Roman"/>
          <w:b w:val="0"/>
          <w:bCs w:val="0"/>
          <w:spacing w:val="0"/>
          <w:sz w:val="32"/>
          <w:szCs w:val="32"/>
          <w:lang w:eastAsia="zh-CN"/>
        </w:rPr>
      </w:pPr>
      <w:r>
        <w:rPr>
          <w:rFonts w:hint="default" w:ascii="Times New Roman" w:hAnsi="Times New Roman" w:eastAsia="方正仿宋_GBK" w:cs="Times New Roman"/>
          <w:b w:val="0"/>
          <w:bCs w:val="0"/>
          <w:spacing w:val="0"/>
          <w:sz w:val="32"/>
          <w:szCs w:val="32"/>
          <w:lang w:val="en-US" w:eastAsia="zh-CN"/>
        </w:rPr>
        <w:t>二是淡化了论文要求。注重考核会计专业技术人员</w:t>
      </w:r>
      <w:r>
        <w:rPr>
          <w:rFonts w:hint="default" w:ascii="Times New Roman" w:hAnsi="Times New Roman" w:eastAsia="方正仿宋_GBK" w:cs="Times New Roman"/>
          <w:b w:val="0"/>
          <w:bCs w:val="0"/>
          <w:spacing w:val="0"/>
          <w:sz w:val="32"/>
          <w:szCs w:val="32"/>
        </w:rPr>
        <w:t>在实际工作中</w:t>
      </w:r>
      <w:r>
        <w:rPr>
          <w:rFonts w:hint="default" w:ascii="Times New Roman" w:hAnsi="Times New Roman" w:eastAsia="方正仿宋_GBK" w:cs="Times New Roman"/>
          <w:b w:val="0"/>
          <w:bCs w:val="0"/>
          <w:spacing w:val="0"/>
          <w:sz w:val="32"/>
          <w:szCs w:val="32"/>
          <w:lang w:eastAsia="zh-CN"/>
        </w:rPr>
        <w:t>的</w:t>
      </w:r>
      <w:r>
        <w:rPr>
          <w:rFonts w:hint="default" w:ascii="Times New Roman" w:hAnsi="Times New Roman" w:eastAsia="方正仿宋_GBK" w:cs="Times New Roman"/>
          <w:b w:val="0"/>
          <w:bCs w:val="0"/>
          <w:spacing w:val="0"/>
          <w:sz w:val="32"/>
          <w:szCs w:val="32"/>
        </w:rPr>
        <w:t>各种课题研究</w:t>
      </w:r>
      <w:r>
        <w:rPr>
          <w:rFonts w:hint="default" w:ascii="Times New Roman" w:hAnsi="Times New Roman" w:eastAsia="方正仿宋_GBK" w:cs="Times New Roman"/>
          <w:b w:val="0"/>
          <w:bCs w:val="0"/>
          <w:spacing w:val="0"/>
          <w:sz w:val="32"/>
          <w:szCs w:val="32"/>
          <w:lang w:eastAsia="zh-CN"/>
        </w:rPr>
        <w:t>和</w:t>
      </w:r>
      <w:r>
        <w:rPr>
          <w:rFonts w:hint="default" w:ascii="Times New Roman" w:hAnsi="Times New Roman" w:eastAsia="方正仿宋_GBK" w:cs="Times New Roman"/>
          <w:b w:val="0"/>
          <w:bCs w:val="0"/>
          <w:spacing w:val="0"/>
          <w:sz w:val="32"/>
          <w:szCs w:val="32"/>
        </w:rPr>
        <w:t>调研报告</w:t>
      </w:r>
      <w:r>
        <w:rPr>
          <w:rFonts w:hint="default" w:ascii="Times New Roman" w:hAnsi="Times New Roman" w:eastAsia="方正仿宋_GBK" w:cs="Times New Roman"/>
          <w:b w:val="0"/>
          <w:bCs w:val="0"/>
          <w:spacing w:val="0"/>
          <w:sz w:val="32"/>
          <w:szCs w:val="32"/>
          <w:lang w:eastAsia="zh-CN"/>
        </w:rPr>
        <w:t>、制度创新等评价指标。</w:t>
      </w:r>
    </w:p>
    <w:p>
      <w:pPr>
        <w:pStyle w:val="2"/>
        <w:keepNext w:val="0"/>
        <w:keepLines w:val="0"/>
        <w:pageBreakBefore w:val="0"/>
        <w:widowControl w:val="0"/>
        <w:kinsoku/>
        <w:wordWrap/>
        <w:overflowPunct/>
        <w:topLinePunct w:val="0"/>
        <w:autoSpaceDE/>
        <w:autoSpaceDN/>
        <w:bidi w:val="0"/>
        <w:adjustRightInd w:val="0"/>
        <w:snapToGrid w:val="0"/>
        <w:spacing w:after="0" w:afterLines="0" w:line="600" w:lineRule="exact"/>
        <w:ind w:left="0" w:leftChars="0" w:firstLine="640" w:firstLineChars="200"/>
        <w:jc w:val="both"/>
        <w:textAlignment w:val="auto"/>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pacing w:val="0"/>
          <w:sz w:val="32"/>
          <w:szCs w:val="32"/>
          <w:lang w:eastAsia="zh-CN"/>
        </w:rPr>
        <w:t>三是拓宽了评价维度。建立以</w:t>
      </w:r>
      <w:r>
        <w:rPr>
          <w:rFonts w:hint="default" w:ascii="Times New Roman" w:hAnsi="Times New Roman" w:eastAsia="方正仿宋_GBK" w:cs="Times New Roman"/>
          <w:b w:val="0"/>
          <w:bCs w:val="0"/>
          <w:sz w:val="32"/>
          <w:szCs w:val="32"/>
        </w:rPr>
        <w:t>诚信评价、专业评价、能力评价为维度的会计人才综合评价体系</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pacing w:val="0"/>
          <w:kern w:val="0"/>
          <w:sz w:val="32"/>
          <w:szCs w:val="32"/>
          <w:lang w:val="en-US" w:eastAsia="zh-CN" w:bidi="ar-SA"/>
        </w:rPr>
        <w:t>坚</w:t>
      </w:r>
      <w:r>
        <w:rPr>
          <w:rFonts w:hint="default" w:ascii="Times New Roman" w:hAnsi="Times New Roman" w:eastAsia="方正仿宋_GBK" w:cs="Times New Roman"/>
          <w:b w:val="0"/>
          <w:bCs w:val="0"/>
          <w:spacing w:val="0"/>
          <w:kern w:val="2"/>
          <w:sz w:val="32"/>
          <w:szCs w:val="32"/>
          <w:highlight w:val="none"/>
          <w:lang w:val="en-US" w:eastAsia="zh-CN" w:bidi="ar-SA"/>
        </w:rPr>
        <w:t>持德才兼备、以德为先的原则，把职业道德放在评价首位。注重</w:t>
      </w:r>
      <w:r>
        <w:rPr>
          <w:rFonts w:hint="default" w:ascii="Times New Roman" w:hAnsi="Times New Roman" w:eastAsia="方正仿宋_GBK" w:cs="Times New Roman"/>
          <w:b w:val="0"/>
          <w:bCs w:val="0"/>
          <w:color w:val="000000" w:themeColor="text1"/>
          <w:spacing w:val="0"/>
          <w:sz w:val="32"/>
          <w:szCs w:val="32"/>
          <w14:textFill>
            <w14:solidFill>
              <w14:schemeClr w14:val="tx1"/>
            </w14:solidFill>
          </w14:textFill>
        </w:rPr>
        <w:t>考核评审对象的专业能力</w:t>
      </w:r>
      <w:r>
        <w:rPr>
          <w:rFonts w:hint="default" w:ascii="Times New Roman" w:hAnsi="Times New Roman" w:eastAsia="方正仿宋_GBK" w:cs="Times New Roman"/>
          <w:b w:val="0"/>
          <w:bCs w:val="0"/>
          <w:color w:val="000000" w:themeColor="text1"/>
          <w:spacing w:val="0"/>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pacing w:val="0"/>
          <w:sz w:val="32"/>
          <w:szCs w:val="32"/>
          <w14:textFill>
            <w14:solidFill>
              <w14:schemeClr w14:val="tx1"/>
            </w14:solidFill>
          </w14:textFill>
        </w:rPr>
        <w:t>工作业绩</w:t>
      </w:r>
      <w:r>
        <w:rPr>
          <w:rFonts w:hint="default" w:ascii="Times New Roman" w:hAnsi="Times New Roman" w:eastAsia="方正仿宋_GBK" w:cs="Times New Roman"/>
          <w:b w:val="0"/>
          <w:bCs w:val="0"/>
          <w:color w:val="000000" w:themeColor="text1"/>
          <w:spacing w:val="0"/>
          <w:sz w:val="32"/>
          <w:szCs w:val="32"/>
          <w:lang w:eastAsia="zh-CN"/>
          <w14:textFill>
            <w14:solidFill>
              <w14:schemeClr w14:val="tx1"/>
            </w14:solidFill>
          </w14:textFill>
        </w:rPr>
        <w:t>和实际贡献，</w:t>
      </w:r>
      <w:r>
        <w:rPr>
          <w:rFonts w:hint="default" w:ascii="Times New Roman" w:hAnsi="Times New Roman" w:eastAsia="方正仿宋_GBK" w:cs="Times New Roman"/>
          <w:b w:val="0"/>
          <w:bCs w:val="0"/>
          <w:spacing w:val="0"/>
          <w:sz w:val="32"/>
          <w:szCs w:val="32"/>
          <w:highlight w:val="none"/>
          <w:lang w:val="en-US" w:eastAsia="zh-CN"/>
        </w:rPr>
        <w:t>对弄虚作假、学术不端等行为实行</w:t>
      </w:r>
      <w:r>
        <w:rPr>
          <w:rFonts w:hint="eastAsia" w:ascii="Times New Roman" w:hAnsi="Times New Roman" w:eastAsia="方正仿宋_GBK" w:cs="Times New Roman"/>
          <w:b w:val="0"/>
          <w:bCs w:val="0"/>
          <w:spacing w:val="0"/>
          <w:sz w:val="32"/>
          <w:szCs w:val="32"/>
          <w:highlight w:val="none"/>
          <w:lang w:val="en-US" w:eastAsia="zh-CN"/>
        </w:rPr>
        <w:t>“</w:t>
      </w:r>
      <w:r>
        <w:rPr>
          <w:rFonts w:hint="default" w:ascii="Times New Roman" w:hAnsi="Times New Roman" w:eastAsia="方正仿宋_GBK" w:cs="Times New Roman"/>
          <w:b w:val="0"/>
          <w:bCs w:val="0"/>
          <w:spacing w:val="0"/>
          <w:sz w:val="32"/>
          <w:szCs w:val="32"/>
          <w:highlight w:val="none"/>
          <w:lang w:val="en-US" w:eastAsia="zh-CN"/>
        </w:rPr>
        <w:t>一票否决</w:t>
      </w:r>
      <w:r>
        <w:rPr>
          <w:rFonts w:hint="eastAsia" w:ascii="Times New Roman" w:hAnsi="Times New Roman" w:eastAsia="方正仿宋_GBK" w:cs="Times New Roman"/>
          <w:b w:val="0"/>
          <w:bCs w:val="0"/>
          <w:spacing w:val="0"/>
          <w:sz w:val="32"/>
          <w:szCs w:val="32"/>
          <w:highlight w:val="none"/>
          <w:lang w:val="en-US" w:eastAsia="zh-CN"/>
        </w:rPr>
        <w:t>”</w:t>
      </w:r>
      <w:r>
        <w:rPr>
          <w:rFonts w:hint="default" w:ascii="Times New Roman" w:hAnsi="Times New Roman" w:eastAsia="方正仿宋_GBK" w:cs="Times New Roman"/>
          <w:b w:val="0"/>
          <w:bCs w:val="0"/>
          <w:spacing w:val="0"/>
          <w:sz w:val="32"/>
          <w:szCs w:val="32"/>
          <w:highlight w:val="none"/>
          <w:lang w:val="en-US" w:eastAsia="zh-CN"/>
        </w:rPr>
        <w:t>，</w:t>
      </w:r>
      <w:r>
        <w:rPr>
          <w:rFonts w:hint="default" w:ascii="Times New Roman" w:hAnsi="Times New Roman" w:eastAsia="方正仿宋_GBK" w:cs="Times New Roman"/>
          <w:b w:val="0"/>
          <w:bCs w:val="0"/>
          <w:sz w:val="32"/>
          <w:szCs w:val="32"/>
        </w:rPr>
        <w:t>引导广大会计人员诚信执业</w:t>
      </w:r>
      <w:r>
        <w:rPr>
          <w:rFonts w:hint="default" w:ascii="Times New Roman" w:hAnsi="Times New Roman" w:eastAsia="方正仿宋_GBK" w:cs="Times New Roman"/>
          <w:b w:val="0"/>
          <w:bCs w:val="0"/>
          <w:sz w:val="32"/>
          <w:szCs w:val="32"/>
          <w:lang w:eastAsia="zh-CN"/>
        </w:rPr>
        <w:t>。</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val="0"/>
          <w:bCs w:val="0"/>
          <w:sz w:val="32"/>
          <w:szCs w:val="32"/>
          <w:u w:val="none"/>
          <w:lang w:val="en-US" w:eastAsia="zh-CN"/>
        </w:rPr>
      </w:pPr>
      <w:r>
        <w:rPr>
          <w:rFonts w:hint="default" w:ascii="Times New Roman" w:hAnsi="Times New Roman" w:eastAsia="方正仿宋_GBK" w:cs="Times New Roman"/>
          <w:b w:val="0"/>
          <w:bCs w:val="0"/>
          <w:sz w:val="32"/>
          <w:szCs w:val="32"/>
          <w:u w:val="none"/>
          <w:lang w:val="en-US" w:eastAsia="zh-CN"/>
        </w:rPr>
        <w:t>四是</w:t>
      </w:r>
      <w:r>
        <w:rPr>
          <w:rFonts w:hint="eastAsia" w:ascii="Times New Roman" w:hAnsi="Times New Roman" w:eastAsia="方正仿宋_GBK" w:cs="Times New Roman"/>
          <w:b w:val="0"/>
          <w:bCs w:val="0"/>
          <w:sz w:val="32"/>
          <w:szCs w:val="32"/>
          <w:u w:val="none"/>
          <w:lang w:val="en-US" w:eastAsia="zh-CN"/>
        </w:rPr>
        <w:t>合理确定评价标准。在评价指标体系中，坚持定性与定量相结合，针对不同层级的会计专业技术人员，科学、合理确定不同的评价标准</w:t>
      </w:r>
      <w:r>
        <w:rPr>
          <w:rFonts w:hint="default" w:ascii="Times New Roman" w:hAnsi="Times New Roman" w:eastAsia="方正仿宋_GBK" w:cs="Times New Roman"/>
          <w:b w:val="0"/>
          <w:bCs w:val="0"/>
          <w:sz w:val="32"/>
          <w:szCs w:val="32"/>
          <w:u w:val="none"/>
          <w:lang w:val="en-US" w:eastAsia="zh-CN"/>
        </w:rPr>
        <w:t>。</w:t>
      </w:r>
    </w:p>
    <w:p>
      <w:pPr>
        <w:pStyle w:val="2"/>
        <w:keepNext w:val="0"/>
        <w:keepLines w:val="0"/>
        <w:pageBreakBefore w:val="0"/>
        <w:widowControl w:val="0"/>
        <w:kinsoku/>
        <w:wordWrap/>
        <w:overflowPunct/>
        <w:topLinePunct w:val="0"/>
        <w:autoSpaceDE/>
        <w:autoSpaceDN/>
        <w:bidi w:val="0"/>
        <w:adjustRightInd w:val="0"/>
        <w:snapToGrid w:val="0"/>
        <w:spacing w:after="0" w:afterLines="0" w:line="600" w:lineRule="exact"/>
        <w:ind w:left="0" w:leftChars="0" w:firstLine="640" w:firstLineChars="200"/>
        <w:jc w:val="both"/>
        <w:textAlignment w:val="auto"/>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lang w:eastAsia="zh-CN"/>
        </w:rPr>
        <w:t>五是建立职称制度与职业资格制度衔接机制。</w:t>
      </w:r>
      <w:r>
        <w:rPr>
          <w:rFonts w:hint="default" w:ascii="Times New Roman" w:hAnsi="Times New Roman" w:eastAsia="方正仿宋_GBK" w:cs="Times New Roman"/>
          <w:b w:val="0"/>
          <w:bCs w:val="0"/>
          <w:sz w:val="32"/>
          <w:szCs w:val="32"/>
        </w:rPr>
        <w:t>取得国家相关专业职业资格的，可以按照国家和我省有关规定直接聘任相应专业技术岗位。符合申报条件的，可以凭个人职业资格证书和聘任证明，申报高一级职称。</w:t>
      </w:r>
    </w:p>
    <w:p>
      <w:pPr>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0" w:firstLineChars="200"/>
        <w:jc w:val="both"/>
        <w:textAlignment w:val="auto"/>
        <w:rPr>
          <w:rFonts w:hint="default" w:ascii="Times New Roman" w:hAnsi="Times New Roman" w:eastAsia="方正仿宋_GBK" w:cs="Times New Roman"/>
          <w:b w:val="0"/>
          <w:bCs w:val="0"/>
          <w:spacing w:val="0"/>
          <w:kern w:val="2"/>
          <w:sz w:val="32"/>
          <w:szCs w:val="32"/>
          <w:highlight w:val="none"/>
          <w:lang w:val="en-US" w:eastAsia="zh-CN" w:bidi="ar-SA"/>
        </w:rPr>
      </w:pPr>
      <w:r>
        <w:rPr>
          <w:rFonts w:hint="default" w:ascii="Times New Roman" w:hAnsi="Times New Roman" w:eastAsia="方正仿宋_GBK" w:cs="Times New Roman"/>
          <w:b w:val="0"/>
          <w:bCs w:val="0"/>
          <w:sz w:val="32"/>
          <w:szCs w:val="32"/>
          <w:lang w:eastAsia="zh-CN"/>
        </w:rPr>
        <w:t>六是建立</w:t>
      </w:r>
      <w:r>
        <w:rPr>
          <w:rFonts w:hint="default" w:ascii="Times New Roman" w:hAnsi="Times New Roman" w:eastAsia="方正仿宋_GBK" w:cs="Times New Roman"/>
          <w:b w:val="0"/>
          <w:bCs w:val="0"/>
          <w:color w:val="000000"/>
          <w:spacing w:val="14"/>
          <w:sz w:val="32"/>
          <w:szCs w:val="32"/>
          <w:lang w:val="en-US" w:eastAsia="zh-CN"/>
        </w:rPr>
        <w:t>职称制度与会计人才培养衔接机制。对云南省会计领军人才培养工程毕业学员，可特殊申报评审正高级会计师职称，对</w:t>
      </w:r>
      <w:r>
        <w:rPr>
          <w:rFonts w:hint="default" w:ascii="Times New Roman" w:hAnsi="Times New Roman" w:eastAsia="方正仿宋_GBK" w:cs="Times New Roman"/>
          <w:b w:val="0"/>
          <w:bCs w:val="0"/>
          <w:color w:val="000000"/>
          <w:spacing w:val="14"/>
          <w:sz w:val="32"/>
          <w:szCs w:val="32"/>
          <w:highlight w:val="none"/>
        </w:rPr>
        <w:t>全国高端会计人才</w:t>
      </w:r>
      <w:r>
        <w:rPr>
          <w:rFonts w:hint="default" w:ascii="Times New Roman" w:hAnsi="Times New Roman" w:eastAsia="方正仿宋_GBK" w:cs="Times New Roman"/>
          <w:b w:val="0"/>
          <w:bCs w:val="0"/>
          <w:color w:val="000000"/>
          <w:spacing w:val="14"/>
          <w:sz w:val="32"/>
          <w:szCs w:val="32"/>
          <w:highlight w:val="none"/>
          <w:lang w:val="en-US" w:eastAsia="zh-CN"/>
        </w:rPr>
        <w:t>培养工程毕业学员</w:t>
      </w:r>
      <w:r>
        <w:rPr>
          <w:rFonts w:hint="default" w:ascii="Times New Roman" w:hAnsi="Times New Roman" w:eastAsia="方正仿宋_GBK" w:cs="Times New Roman"/>
          <w:b w:val="0"/>
          <w:bCs w:val="0"/>
          <w:spacing w:val="0"/>
          <w:kern w:val="2"/>
          <w:sz w:val="32"/>
          <w:szCs w:val="32"/>
          <w:highlight w:val="none"/>
          <w:lang w:val="en-US" w:eastAsia="zh-CN" w:bidi="ar-SA"/>
        </w:rPr>
        <w:t>，按程序由云南省正高级会计师评审委员会认定取得正高级会计师职称。</w:t>
      </w:r>
    </w:p>
    <w:p>
      <w:pPr>
        <w:pStyle w:val="2"/>
        <w:rPr>
          <w:rFonts w:hint="default" w:ascii="仿宋_GB2312" w:hAnsi="仿宋_GB2312" w:eastAsia="仿宋_GB2312" w:cs="仿宋_GB2312"/>
          <w:sz w:val="30"/>
          <w:szCs w:val="30"/>
          <w:lang w:val="en-US" w:eastAsia="zh-CN"/>
        </w:rPr>
      </w:pPr>
    </w:p>
    <w:sectPr>
      <w:footerReference r:id="rId3" w:type="default"/>
      <w:pgSz w:w="11906" w:h="16838"/>
      <w:pgMar w:top="1474" w:right="1587" w:bottom="147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1" w:fontKey="{520A6E06-27E3-4086-BD46-FE7BBC66CAFB}"/>
  </w:font>
  <w:font w:name="方正小标宋_GBK">
    <w:panose1 w:val="02000000000000000000"/>
    <w:charset w:val="86"/>
    <w:family w:val="script"/>
    <w:pitch w:val="default"/>
    <w:sig w:usb0="00000001" w:usb1="080E0000" w:usb2="00000000" w:usb3="00000000" w:csb0="00040000" w:csb1="00000000"/>
    <w:embedRegular r:id="rId2" w:fontKey="{644F1929-3F17-4827-BAF2-0DE941C3FF61}"/>
  </w:font>
  <w:font w:name="方正仿宋_GBK">
    <w:panose1 w:val="02000000000000000000"/>
    <w:charset w:val="86"/>
    <w:family w:val="auto"/>
    <w:pitch w:val="default"/>
    <w:sig w:usb0="00000001" w:usb1="080E0000" w:usb2="00000000" w:usb3="00000000" w:csb0="00040000" w:csb1="00000000"/>
    <w:embedRegular r:id="rId3" w:fontKey="{7A149FE0-CBB0-41D9-AE8C-CAE607C3947B}"/>
  </w:font>
  <w:font w:name="方正黑体_GBK">
    <w:panose1 w:val="03000509000000000000"/>
    <w:charset w:val="86"/>
    <w:family w:val="auto"/>
    <w:pitch w:val="default"/>
    <w:sig w:usb0="00000001" w:usb1="080E0000" w:usb2="00000000" w:usb3="00000000" w:csb0="00040000" w:csb1="00000000"/>
    <w:embedRegular r:id="rId4" w:fontKey="{1615CCE0-96B2-4DF8-BF90-84CCB4335812}"/>
  </w:font>
  <w:font w:name="仿宋_GB2312">
    <w:panose1 w:val="02010609030101010101"/>
    <w:charset w:val="86"/>
    <w:family w:val="auto"/>
    <w:pitch w:val="default"/>
    <w:sig w:usb0="00000001" w:usb1="080E0000" w:usb2="00000000" w:usb3="00000000" w:csb0="00040000" w:csb1="00000000"/>
    <w:embedRegular r:id="rId5" w:fontKey="{7AC666E8-6D05-46C5-9219-4BC5AE3299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55CBF"/>
    <w:rsid w:val="0A690489"/>
    <w:rsid w:val="0BA57615"/>
    <w:rsid w:val="0CF3073D"/>
    <w:rsid w:val="0D343EB4"/>
    <w:rsid w:val="11B31695"/>
    <w:rsid w:val="12FC154F"/>
    <w:rsid w:val="15CC45CA"/>
    <w:rsid w:val="164807D7"/>
    <w:rsid w:val="165A277E"/>
    <w:rsid w:val="17526701"/>
    <w:rsid w:val="1AE92E23"/>
    <w:rsid w:val="1BFF125B"/>
    <w:rsid w:val="20C50272"/>
    <w:rsid w:val="24D517AF"/>
    <w:rsid w:val="2AE61930"/>
    <w:rsid w:val="2EE92BCB"/>
    <w:rsid w:val="34495827"/>
    <w:rsid w:val="344A65CA"/>
    <w:rsid w:val="36457B2B"/>
    <w:rsid w:val="36771049"/>
    <w:rsid w:val="37E7199A"/>
    <w:rsid w:val="3C810719"/>
    <w:rsid w:val="3D402677"/>
    <w:rsid w:val="3E6A0B7F"/>
    <w:rsid w:val="40260320"/>
    <w:rsid w:val="421C613D"/>
    <w:rsid w:val="48964F93"/>
    <w:rsid w:val="4B126216"/>
    <w:rsid w:val="4B322FB0"/>
    <w:rsid w:val="4CCF3E8B"/>
    <w:rsid w:val="4DD21258"/>
    <w:rsid w:val="52A510A6"/>
    <w:rsid w:val="53E109DE"/>
    <w:rsid w:val="58D14B6E"/>
    <w:rsid w:val="5A182D6D"/>
    <w:rsid w:val="5C525466"/>
    <w:rsid w:val="5DB55149"/>
    <w:rsid w:val="606F16CD"/>
    <w:rsid w:val="62876AC3"/>
    <w:rsid w:val="65DB5734"/>
    <w:rsid w:val="676F54CC"/>
    <w:rsid w:val="68C1206B"/>
    <w:rsid w:val="69034483"/>
    <w:rsid w:val="6A05023F"/>
    <w:rsid w:val="6CF84CC8"/>
    <w:rsid w:val="6E673F7E"/>
    <w:rsid w:val="6F1167E4"/>
    <w:rsid w:val="71F36304"/>
    <w:rsid w:val="72F84D73"/>
    <w:rsid w:val="740D6441"/>
    <w:rsid w:val="76BB160A"/>
    <w:rsid w:val="7DD606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3"/>
    <w:basedOn w:val="1"/>
    <w:next w:val="1"/>
    <w:unhideWhenUsed/>
    <w:qFormat/>
    <w:uiPriority w:val="0"/>
    <w:pPr>
      <w:keepNext/>
      <w:keepLines/>
      <w:spacing w:before="260" w:after="260" w:line="415" w:lineRule="auto"/>
      <w:outlineLvl w:val="2"/>
    </w:pPr>
    <w:rPr>
      <w:b/>
      <w:bCs/>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adjustRightInd w:val="0"/>
      <w:snapToGrid w:val="0"/>
      <w:spacing w:after="120" w:afterLines="0"/>
    </w:pPr>
    <w:rPr>
      <w:rFonts w:eastAsia="仿宋"/>
      <w:sz w:val="2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1850</Words>
  <Characters>1857</Characters>
  <Lines>0</Lines>
  <Paragraphs>0</Paragraphs>
  <TotalTime>4</TotalTime>
  <ScaleCrop>false</ScaleCrop>
  <LinksUpToDate>false</LinksUpToDate>
  <CharactersWithSpaces>1862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002</dc:creator>
  <cp:lastModifiedBy>楚淇</cp:lastModifiedBy>
  <cp:lastPrinted>2022-02-18T08:42:00Z</cp:lastPrinted>
  <dcterms:modified xsi:type="dcterms:W3CDTF">2022-03-22T01:50:45Z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AC244F41D2B34E49B95B0CCEECA906D2</vt:lpwstr>
  </property>
</Properties>
</file>