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宋体" w:hAnsi="宋体" w:eastAsia="方正仿宋_GBK" w:cs="方正仿宋_GBK"/>
          <w:color w:val="auto"/>
          <w:sz w:val="32"/>
          <w:szCs w:val="32"/>
        </w:rPr>
      </w:pPr>
      <w:bookmarkStart w:id="504" w:name="_GoBack"/>
      <w:bookmarkEnd w:id="504"/>
    </w:p>
    <w:p>
      <w:pPr>
        <w:pStyle w:val="2"/>
      </w:pPr>
    </w:p>
    <w:p>
      <w:pPr>
        <w:spacing w:line="600" w:lineRule="exact"/>
        <w:rPr>
          <w:rFonts w:ascii="宋体" w:hAnsi="宋体" w:eastAsia="方正仿宋_GBK" w:cs="方正仿宋_GBK"/>
          <w:color w:val="auto"/>
          <w:sz w:val="32"/>
          <w:szCs w:val="32"/>
        </w:rPr>
      </w:pPr>
    </w:p>
    <w:p>
      <w:pPr>
        <w:spacing w:line="600" w:lineRule="exact"/>
        <w:jc w:val="center"/>
        <w:rPr>
          <w:rFonts w:ascii="方正小标宋_GBK" w:hAnsi="方正小标宋_GBK" w:eastAsia="方正小标宋_GBK" w:cs="方正小标宋_GBK"/>
          <w:b w:val="0"/>
          <w:bCs w:val="0"/>
          <w:color w:val="auto"/>
          <w:sz w:val="44"/>
          <w:szCs w:val="44"/>
        </w:rPr>
      </w:pPr>
      <w:r>
        <w:rPr>
          <w:rFonts w:hint="eastAsia" w:ascii="方正小标宋_GBK" w:hAnsi="方正小标宋_GBK" w:eastAsia="方正小标宋_GBK" w:cs="方正小标宋_GBK"/>
          <w:b w:val="0"/>
          <w:bCs w:val="0"/>
          <w:color w:val="auto"/>
          <w:sz w:val="44"/>
          <w:szCs w:val="44"/>
        </w:rPr>
        <w:t>云南省“十四五”就业促进规划</w:t>
      </w:r>
    </w:p>
    <w:p>
      <w:pPr>
        <w:spacing w:line="600" w:lineRule="exact"/>
        <w:jc w:val="center"/>
        <w:rPr>
          <w:rFonts w:hint="eastAsia" w:ascii="方正楷体_GBK" w:hAnsi="方正楷体_GBK" w:eastAsia="方正楷体_GBK" w:cs="方正楷体_GBK"/>
          <w:b w:val="0"/>
          <w:bCs w:val="0"/>
          <w:color w:val="auto"/>
          <w:sz w:val="32"/>
          <w:szCs w:val="32"/>
        </w:rPr>
      </w:pPr>
      <w:r>
        <w:rPr>
          <w:rFonts w:hint="eastAsia" w:ascii="方正楷体_GBK" w:hAnsi="方正楷体_GBK" w:eastAsia="方正楷体_GBK" w:cs="方正楷体_GBK"/>
          <w:b w:val="0"/>
          <w:bCs w:val="0"/>
          <w:color w:val="auto"/>
          <w:sz w:val="32"/>
          <w:szCs w:val="32"/>
        </w:rPr>
        <w:t>（</w:t>
      </w:r>
      <w:r>
        <w:rPr>
          <w:rFonts w:hint="eastAsia" w:ascii="方正楷体_GBK" w:hAnsi="方正楷体_GBK" w:eastAsia="方正楷体_GBK" w:cs="方正楷体_GBK"/>
          <w:b w:val="0"/>
          <w:bCs w:val="0"/>
          <w:color w:val="auto"/>
          <w:sz w:val="32"/>
          <w:szCs w:val="32"/>
          <w:lang w:eastAsia="zh-CN"/>
        </w:rPr>
        <w:t>公开征求意见稿</w:t>
      </w:r>
      <w:r>
        <w:rPr>
          <w:rFonts w:hint="eastAsia" w:ascii="方正楷体_GBK" w:hAnsi="方正楷体_GBK" w:eastAsia="方正楷体_GBK" w:cs="方正楷体_GBK"/>
          <w:b w:val="0"/>
          <w:bCs w:val="0"/>
          <w:color w:val="auto"/>
          <w:sz w:val="32"/>
          <w:szCs w:val="32"/>
        </w:rPr>
        <w:t>）</w:t>
      </w:r>
    </w:p>
    <w:p>
      <w:pPr>
        <w:spacing w:line="600" w:lineRule="exact"/>
        <w:jc w:val="center"/>
        <w:rPr>
          <w:rFonts w:ascii="宋体" w:hAnsi="宋体" w:eastAsia="方正仿宋_GBK" w:cs="方正仿宋_GBK"/>
          <w:color w:val="auto"/>
          <w:sz w:val="32"/>
          <w:szCs w:val="32"/>
        </w:rPr>
      </w:pPr>
    </w:p>
    <w:p>
      <w:pPr>
        <w:spacing w:line="600" w:lineRule="exact"/>
        <w:jc w:val="center"/>
        <w:rPr>
          <w:rFonts w:ascii="宋体" w:hAnsi="宋体" w:eastAsia="方正仿宋_GBK" w:cs="方正仿宋_GBK"/>
          <w:color w:val="auto"/>
          <w:sz w:val="32"/>
          <w:szCs w:val="32"/>
        </w:rPr>
      </w:pPr>
    </w:p>
    <w:p>
      <w:pPr>
        <w:spacing w:line="600" w:lineRule="exact"/>
        <w:jc w:val="center"/>
        <w:rPr>
          <w:rFonts w:ascii="宋体" w:hAnsi="宋体" w:eastAsia="方正仿宋_GBK" w:cs="方正仿宋_GBK"/>
          <w:color w:val="auto"/>
          <w:sz w:val="32"/>
          <w:szCs w:val="32"/>
        </w:rPr>
      </w:pPr>
    </w:p>
    <w:p>
      <w:pPr>
        <w:pStyle w:val="10"/>
        <w:rPr>
          <w:color w:val="auto"/>
        </w:rPr>
      </w:pPr>
    </w:p>
    <w:p>
      <w:pPr>
        <w:pStyle w:val="10"/>
        <w:rPr>
          <w:color w:val="auto"/>
        </w:rPr>
      </w:pPr>
    </w:p>
    <w:p>
      <w:pPr>
        <w:pStyle w:val="10"/>
        <w:rPr>
          <w:color w:val="auto"/>
        </w:rPr>
      </w:pPr>
    </w:p>
    <w:p>
      <w:pPr>
        <w:pStyle w:val="10"/>
        <w:rPr>
          <w:color w:val="auto"/>
        </w:rPr>
      </w:pPr>
    </w:p>
    <w:p>
      <w:pPr>
        <w:pStyle w:val="10"/>
        <w:rPr>
          <w:color w:val="auto"/>
        </w:rPr>
      </w:pPr>
    </w:p>
    <w:p>
      <w:pPr>
        <w:pStyle w:val="10"/>
        <w:rPr>
          <w:color w:val="auto"/>
        </w:rPr>
      </w:pPr>
    </w:p>
    <w:p>
      <w:pPr>
        <w:pStyle w:val="10"/>
        <w:rPr>
          <w:color w:val="auto"/>
        </w:rPr>
      </w:pPr>
    </w:p>
    <w:p>
      <w:pPr>
        <w:pStyle w:val="10"/>
        <w:rPr>
          <w:color w:val="auto"/>
        </w:rPr>
      </w:pPr>
    </w:p>
    <w:p>
      <w:pPr>
        <w:spacing w:line="600" w:lineRule="exact"/>
        <w:jc w:val="center"/>
        <w:rPr>
          <w:rFonts w:ascii="宋体" w:hAnsi="宋体" w:eastAsia="方正仿宋_GBK" w:cs="方正仿宋_GBK"/>
          <w:color w:val="auto"/>
          <w:sz w:val="32"/>
          <w:szCs w:val="32"/>
        </w:rPr>
      </w:pPr>
    </w:p>
    <w:p>
      <w:pPr>
        <w:spacing w:line="600" w:lineRule="exact"/>
        <w:jc w:val="center"/>
        <w:rPr>
          <w:rFonts w:ascii="宋体" w:hAnsi="宋体" w:eastAsia="方正仿宋_GBK" w:cs="方正仿宋_GBK"/>
          <w:color w:val="auto"/>
          <w:sz w:val="32"/>
          <w:szCs w:val="32"/>
        </w:rPr>
      </w:pPr>
    </w:p>
    <w:p>
      <w:pPr>
        <w:spacing w:line="600" w:lineRule="exact"/>
        <w:jc w:val="center"/>
        <w:rPr>
          <w:rFonts w:ascii="宋体" w:hAnsi="宋体" w:eastAsia="方正仿宋_GBK" w:cs="方正仿宋_GBK"/>
          <w:color w:val="auto"/>
          <w:sz w:val="32"/>
          <w:szCs w:val="32"/>
        </w:rPr>
      </w:pPr>
    </w:p>
    <w:p>
      <w:pPr>
        <w:spacing w:line="600" w:lineRule="exact"/>
        <w:jc w:val="center"/>
        <w:rPr>
          <w:rFonts w:ascii="宋体" w:hAnsi="宋体" w:eastAsia="方正仿宋_GBK" w:cs="方正仿宋_GBK"/>
          <w:color w:val="auto"/>
          <w:sz w:val="32"/>
          <w:szCs w:val="32"/>
        </w:rPr>
      </w:pPr>
    </w:p>
    <w:p>
      <w:pPr>
        <w:spacing w:line="60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2021年</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月</w:t>
      </w:r>
    </w:p>
    <w:p>
      <w:pPr>
        <w:spacing w:line="600" w:lineRule="exact"/>
        <w:jc w:val="center"/>
        <w:rPr>
          <w:rFonts w:ascii="宋体" w:hAnsi="宋体" w:eastAsia="方正仿宋_GBK" w:cs="方正仿宋_GBK"/>
          <w:color w:val="auto"/>
          <w:kern w:val="0"/>
          <w:sz w:val="32"/>
          <w:szCs w:val="32"/>
        </w:rPr>
        <w:sectPr>
          <w:footerReference r:id="rId3" w:type="default"/>
          <w:footerReference r:id="rId4" w:type="even"/>
          <w:pgSz w:w="11906" w:h="16838"/>
          <w:pgMar w:top="1985" w:right="1616" w:bottom="1814" w:left="1616" w:header="851" w:footer="1474" w:gutter="0"/>
          <w:pgNumType w:fmt="decimal"/>
          <w:cols w:space="425" w:num="1"/>
          <w:docGrid w:type="lines" w:linePitch="312" w:charSpace="0"/>
        </w:sect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40"/>
          <w:szCs w:val="40"/>
        </w:rPr>
      </w:pPr>
      <w:r>
        <w:rPr>
          <w:rFonts w:hint="eastAsia" w:ascii="黑体" w:hAnsi="黑体" w:eastAsia="黑体" w:cs="黑体"/>
          <w:b w:val="0"/>
          <w:bCs w:val="0"/>
          <w:color w:val="auto"/>
          <w:sz w:val="40"/>
          <w:szCs w:val="40"/>
        </w:rPr>
        <w:t>目 录</w:t>
      </w:r>
    </w:p>
    <w:p>
      <w:pPr>
        <w:pStyle w:val="14"/>
        <w:keepNext w:val="0"/>
        <w:keepLines w:val="0"/>
        <w:pageBreakBefore w:val="0"/>
        <w:tabs>
          <w:tab w:val="right" w:leader="dot" w:pos="8674"/>
        </w:tabs>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"_Toc1267149522" </w:instrText>
      </w:r>
      <w:r>
        <w:rPr>
          <w:rFonts w:hint="eastAsia" w:ascii="仿宋" w:hAnsi="仿宋" w:eastAsia="仿宋" w:cs="仿宋"/>
          <w:color w:val="auto"/>
        </w:rPr>
        <w:fldChar w:fldCharType="separate"/>
      </w:r>
      <w:r>
        <w:rPr>
          <w:rFonts w:hint="eastAsia" w:ascii="黑体" w:hAnsi="黑体" w:eastAsia="黑体" w:cs="黑体"/>
          <w:color w:val="auto"/>
          <w:sz w:val="32"/>
          <w:szCs w:val="32"/>
        </w:rPr>
        <w:t>一、发展形势</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2</w:t>
      </w:r>
      <w:r>
        <w:rPr>
          <w:rFonts w:hint="eastAsia" w:ascii="仿宋" w:hAnsi="仿宋" w:eastAsia="仿宋" w:cs="仿宋"/>
          <w:color w:val="auto"/>
          <w:sz w:val="32"/>
          <w:szCs w:val="32"/>
        </w:rPr>
        <w:fldChar w:fldCharType="end"/>
      </w:r>
    </w:p>
    <w:p>
      <w:pPr>
        <w:pStyle w:val="14"/>
        <w:keepNext w:val="0"/>
        <w:keepLines w:val="0"/>
        <w:pageBreakBefore w:val="0"/>
        <w:tabs>
          <w:tab w:val="right" w:leader="dot" w:pos="8674"/>
        </w:tabs>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（一）发展</w:t>
      </w:r>
      <w:r>
        <w:rPr>
          <w:rFonts w:hint="eastAsia" w:ascii="仿宋" w:hAnsi="仿宋" w:eastAsia="仿宋" w:cs="仿宋"/>
          <w:color w:val="auto"/>
          <w:sz w:val="32"/>
          <w:szCs w:val="32"/>
          <w:lang w:eastAsia="zh-CN"/>
        </w:rPr>
        <w:t>基础</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2</w:t>
      </w:r>
    </w:p>
    <w:p>
      <w:pPr>
        <w:pStyle w:val="14"/>
        <w:keepNext w:val="0"/>
        <w:keepLines w:val="0"/>
        <w:pageBreakBefore w:val="0"/>
        <w:tabs>
          <w:tab w:val="right" w:leader="dot" w:pos="8674"/>
        </w:tabs>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
        </w:rPr>
      </w:pPr>
      <w:r>
        <w:rPr>
          <w:rFonts w:hint="eastAsia" w:ascii="仿宋" w:hAnsi="仿宋" w:eastAsia="仿宋" w:cs="仿宋"/>
          <w:color w:val="auto"/>
          <w:sz w:val="32"/>
          <w:szCs w:val="32"/>
        </w:rPr>
        <w:t>（二）机遇挑战</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3</w:t>
      </w:r>
    </w:p>
    <w:p>
      <w:pPr>
        <w:pStyle w:val="14"/>
        <w:keepNext w:val="0"/>
        <w:keepLines w:val="0"/>
        <w:pageBreakBefore w:val="0"/>
        <w:tabs>
          <w:tab w:val="right" w:leader="dot" w:pos="8674"/>
        </w:tabs>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"_Toc2124430705" </w:instrText>
      </w:r>
      <w:r>
        <w:rPr>
          <w:rFonts w:hint="eastAsia" w:ascii="仿宋" w:hAnsi="仿宋" w:eastAsia="仿宋" w:cs="仿宋"/>
          <w:color w:val="auto"/>
        </w:rPr>
        <w:fldChar w:fldCharType="separate"/>
      </w:r>
      <w:r>
        <w:rPr>
          <w:rFonts w:hint="eastAsia" w:ascii="黑体" w:hAnsi="黑体" w:eastAsia="黑体" w:cs="黑体"/>
          <w:color w:val="auto"/>
          <w:sz w:val="32"/>
          <w:szCs w:val="32"/>
        </w:rPr>
        <w:t>二、总体要求</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5</w:t>
      </w:r>
      <w:r>
        <w:rPr>
          <w:rFonts w:hint="eastAsia" w:ascii="仿宋" w:hAnsi="仿宋" w:eastAsia="仿宋" w:cs="仿宋"/>
          <w:color w:val="auto"/>
          <w:sz w:val="32"/>
          <w:szCs w:val="32"/>
        </w:rPr>
        <w:fldChar w:fldCharType="end"/>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"_Toc1248971185"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（三）指导思想</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5</w:t>
      </w:r>
      <w:r>
        <w:rPr>
          <w:rFonts w:hint="eastAsia" w:ascii="仿宋" w:hAnsi="仿宋" w:eastAsia="仿宋" w:cs="仿宋"/>
          <w:color w:val="auto"/>
          <w:sz w:val="32"/>
          <w:szCs w:val="32"/>
        </w:rPr>
        <w:fldChar w:fldCharType="end"/>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"_Toc462145782"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（四）基本原则</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fldChar w:fldCharType="end"/>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"_Toc551592920"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（五）主要目标</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6</w:t>
      </w:r>
      <w:r>
        <w:rPr>
          <w:rFonts w:hint="eastAsia" w:ascii="仿宋" w:hAnsi="仿宋" w:eastAsia="仿宋" w:cs="仿宋"/>
          <w:color w:val="auto"/>
          <w:sz w:val="32"/>
          <w:szCs w:val="32"/>
        </w:rPr>
        <w:fldChar w:fldCharType="end"/>
      </w:r>
    </w:p>
    <w:p>
      <w:pPr>
        <w:pStyle w:val="14"/>
        <w:keepNext w:val="0"/>
        <w:keepLines w:val="0"/>
        <w:pageBreakBefore w:val="0"/>
        <w:tabs>
          <w:tab w:val="right" w:leader="dot" w:pos="8674"/>
        </w:tabs>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"_Toc617906098" </w:instrText>
      </w:r>
      <w:r>
        <w:rPr>
          <w:rFonts w:hint="eastAsia" w:ascii="仿宋" w:hAnsi="仿宋" w:eastAsia="仿宋" w:cs="仿宋"/>
          <w:color w:val="auto"/>
        </w:rPr>
        <w:fldChar w:fldCharType="separate"/>
      </w:r>
      <w:r>
        <w:rPr>
          <w:rFonts w:hint="eastAsia" w:ascii="黑体" w:hAnsi="黑体" w:eastAsia="黑体" w:cs="黑体"/>
          <w:color w:val="auto"/>
          <w:sz w:val="32"/>
          <w:szCs w:val="32"/>
        </w:rPr>
        <w:t>三、坚持经济发展就业导向 促进就业扩容提质</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8</w:t>
      </w:r>
      <w:r>
        <w:rPr>
          <w:rFonts w:hint="eastAsia" w:ascii="仿宋" w:hAnsi="仿宋" w:eastAsia="仿宋" w:cs="仿宋"/>
          <w:color w:val="auto"/>
          <w:sz w:val="32"/>
          <w:szCs w:val="32"/>
        </w:rPr>
        <w:fldChar w:fldCharType="end"/>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"_Toc1912402488"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（六）稳定经济增长扩大就业</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8</w:t>
      </w:r>
      <w:r>
        <w:rPr>
          <w:rFonts w:hint="eastAsia" w:ascii="仿宋" w:hAnsi="仿宋" w:eastAsia="仿宋" w:cs="仿宋"/>
          <w:color w:val="auto"/>
          <w:sz w:val="32"/>
          <w:szCs w:val="32"/>
        </w:rPr>
        <w:fldChar w:fldCharType="end"/>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default" w:ascii="仿宋" w:hAnsi="仿宋" w:eastAsia="仿宋" w:cs="仿宋"/>
          <w:color w:val="auto"/>
          <w:sz w:val="32"/>
          <w:szCs w:val="32"/>
          <w:lang w:val="en"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"_Toc929677797"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（七）促进制造业高质量就业</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8</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default" w:ascii="仿宋" w:hAnsi="仿宋" w:eastAsia="仿宋" w:cs="仿宋"/>
          <w:color w:val="auto"/>
          <w:sz w:val="32"/>
          <w:szCs w:val="32"/>
          <w:lang w:val="e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"_Toc2080865213"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（八）持续扩大服务业就业</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default" w:ascii="仿宋" w:hAnsi="仿宋" w:eastAsia="仿宋" w:cs="仿宋"/>
          <w:color w:val="auto"/>
          <w:sz w:val="32"/>
          <w:szCs w:val="32"/>
          <w:lang w:val="en"/>
        </w:rPr>
        <w:t>9</w:t>
      </w:r>
    </w:p>
    <w:p>
      <w:pPr>
        <w:pStyle w:val="15"/>
        <w:keepNext w:val="0"/>
        <w:keepLines w:val="0"/>
        <w:pageBreakBefore w:val="0"/>
        <w:numPr>
          <w:ilvl w:val="0"/>
          <w:numId w:val="1"/>
        </w:numPr>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扩展农业就业空间</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9</w:t>
      </w:r>
    </w:p>
    <w:p>
      <w:pPr>
        <w:pStyle w:val="15"/>
        <w:keepNext w:val="0"/>
        <w:keepLines w:val="0"/>
        <w:pageBreakBefore w:val="0"/>
        <w:numPr>
          <w:ilvl w:val="0"/>
          <w:numId w:val="1"/>
        </w:numPr>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壮大市场主体吸纳就业</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10</w:t>
      </w:r>
    </w:p>
    <w:p>
      <w:pPr>
        <w:pStyle w:val="15"/>
        <w:keepNext w:val="0"/>
        <w:keepLines w:val="0"/>
        <w:pageBreakBefore w:val="0"/>
        <w:numPr>
          <w:ilvl w:val="0"/>
          <w:numId w:val="1"/>
        </w:numPr>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促进数字经济领域就业创业</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1</w:t>
      </w:r>
      <w:r>
        <w:rPr>
          <w:rFonts w:hint="eastAsia" w:ascii="仿宋" w:hAnsi="仿宋" w:eastAsia="仿宋" w:cs="仿宋"/>
          <w:color w:val="auto"/>
          <w:sz w:val="32"/>
          <w:szCs w:val="32"/>
          <w:lang w:val="en-US" w:eastAsia="zh-CN"/>
        </w:rPr>
        <w:t>0</w:t>
      </w:r>
    </w:p>
    <w:p>
      <w:pPr>
        <w:pStyle w:val="15"/>
        <w:keepNext w:val="0"/>
        <w:keepLines w:val="0"/>
        <w:pageBreakBefore w:val="0"/>
        <w:numPr>
          <w:ilvl w:val="0"/>
          <w:numId w:val="1"/>
        </w:numPr>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支持鼓励多渠道灵活就业和新就业形态发展</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11</w:t>
      </w:r>
    </w:p>
    <w:p>
      <w:pPr>
        <w:pStyle w:val="15"/>
        <w:keepNext w:val="0"/>
        <w:keepLines w:val="0"/>
        <w:pageBreakBefore w:val="0"/>
        <w:numPr>
          <w:ilvl w:val="0"/>
          <w:numId w:val="1"/>
        </w:numPr>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促进不同区域就业协调发展</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1</w:t>
      </w:r>
      <w:r>
        <w:rPr>
          <w:rFonts w:hint="eastAsia" w:ascii="仿宋" w:hAnsi="仿宋" w:eastAsia="仿宋" w:cs="仿宋"/>
          <w:color w:val="auto"/>
          <w:sz w:val="32"/>
          <w:szCs w:val="32"/>
          <w:lang w:val="en-US" w:eastAsia="zh-CN"/>
        </w:rPr>
        <w:t>2</w:t>
      </w:r>
    </w:p>
    <w:p>
      <w:pPr>
        <w:pStyle w:val="15"/>
        <w:keepNext w:val="0"/>
        <w:keepLines w:val="0"/>
        <w:pageBreakBefore w:val="0"/>
        <w:numPr>
          <w:ilvl w:val="0"/>
          <w:numId w:val="1"/>
        </w:numPr>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实施特殊类型地区就业促进行动</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1</w:t>
      </w:r>
      <w:r>
        <w:rPr>
          <w:rFonts w:hint="eastAsia" w:ascii="仿宋" w:hAnsi="仿宋" w:eastAsia="仿宋" w:cs="仿宋"/>
          <w:color w:val="auto"/>
          <w:sz w:val="32"/>
          <w:szCs w:val="32"/>
          <w:lang w:val="en-US" w:eastAsia="zh-CN"/>
        </w:rPr>
        <w:t>2</w:t>
      </w:r>
    </w:p>
    <w:p>
      <w:pPr>
        <w:pStyle w:val="15"/>
        <w:keepNext w:val="0"/>
        <w:keepLines w:val="0"/>
        <w:pageBreakBefore w:val="0"/>
        <w:numPr>
          <w:ilvl w:val="0"/>
          <w:numId w:val="1"/>
        </w:numPr>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壮大县乡村促就业内生动力</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1</w:t>
      </w:r>
      <w:r>
        <w:rPr>
          <w:rFonts w:hint="eastAsia" w:ascii="仿宋" w:hAnsi="仿宋" w:eastAsia="仿宋" w:cs="仿宋"/>
          <w:color w:val="auto"/>
          <w:sz w:val="32"/>
          <w:szCs w:val="32"/>
          <w:lang w:val="en-US" w:eastAsia="zh-CN"/>
        </w:rPr>
        <w:t>3</w:t>
      </w:r>
    </w:p>
    <w:p>
      <w:pPr>
        <w:pStyle w:val="14"/>
        <w:keepNext w:val="0"/>
        <w:keepLines w:val="0"/>
        <w:pageBreakBefore w:val="0"/>
        <w:tabs>
          <w:tab w:val="right" w:leader="dot" w:pos="8674"/>
        </w:tabs>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"_Toc747062942" </w:instrText>
      </w:r>
      <w:r>
        <w:rPr>
          <w:rFonts w:hint="eastAsia" w:ascii="仿宋" w:hAnsi="仿宋" w:eastAsia="仿宋" w:cs="仿宋"/>
          <w:color w:val="auto"/>
        </w:rPr>
        <w:fldChar w:fldCharType="separate"/>
      </w:r>
      <w:r>
        <w:rPr>
          <w:rFonts w:hint="eastAsia" w:ascii="黑体" w:hAnsi="黑体" w:eastAsia="黑体" w:cs="黑体"/>
          <w:color w:val="auto"/>
          <w:sz w:val="32"/>
          <w:szCs w:val="32"/>
        </w:rPr>
        <w:t>四、大力促进创业带动就业 释放就业倍增效应</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1</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4</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default" w:ascii="仿宋" w:hAnsi="仿宋" w:eastAsia="仿宋" w:cs="仿宋"/>
          <w:color w:val="auto"/>
          <w:sz w:val="32"/>
          <w:szCs w:val="32"/>
          <w:lang w:val="en"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"_Toc637448792"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（十六）持续优化创业环境</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1</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4</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default" w:ascii="仿宋" w:hAnsi="仿宋" w:eastAsia="仿宋" w:cs="仿宋"/>
          <w:color w:val="auto"/>
          <w:sz w:val="32"/>
          <w:szCs w:val="32"/>
          <w:lang w:val="en"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"_Toc1363765316"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（十七）加大创业政策支持</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1</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4</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"_Toc2007882877"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（十八）提升创业服务水平</w:t>
      </w:r>
      <w:r>
        <w:rPr>
          <w:rFonts w:hint="eastAsia" w:ascii="仿宋" w:hAnsi="仿宋" w:eastAsia="仿宋" w:cs="仿宋"/>
          <w:color w:val="auto"/>
          <w:sz w:val="32"/>
          <w:szCs w:val="32"/>
        </w:rPr>
        <w:tab/>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fldChar w:fldCharType="end"/>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rPr>
        <w:sectPr>
          <w:footerReference r:id="rId5" w:type="default"/>
          <w:footerReference r:id="rId6" w:type="even"/>
          <w:pgSz w:w="11906" w:h="16838"/>
          <w:pgMar w:top="1440" w:right="1800" w:bottom="1440" w:left="1800" w:header="851" w:footer="992" w:gutter="0"/>
          <w:pgNumType w:fmt="decimal" w:start="1"/>
          <w:cols w:space="425" w:num="1"/>
          <w:docGrid w:type="lines" w:linePitch="312" w:charSpace="0"/>
        </w:sectPr>
      </w:pP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（十九）鼓励激发各类劳动者创业活力</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1</w:t>
      </w:r>
      <w:r>
        <w:rPr>
          <w:rFonts w:hint="eastAsia" w:ascii="仿宋" w:hAnsi="仿宋" w:eastAsia="仿宋" w:cs="仿宋"/>
          <w:color w:val="auto"/>
          <w:sz w:val="32"/>
          <w:szCs w:val="32"/>
          <w:lang w:val="en-US" w:eastAsia="zh-CN"/>
        </w:rPr>
        <w:t>6</w:t>
      </w:r>
    </w:p>
    <w:p>
      <w:pPr>
        <w:pStyle w:val="14"/>
        <w:keepNext w:val="0"/>
        <w:keepLines w:val="0"/>
        <w:pageBreakBefore w:val="0"/>
        <w:tabs>
          <w:tab w:val="right" w:leader="dot" w:pos="8674"/>
        </w:tabs>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"_Toc725242020" </w:instrText>
      </w:r>
      <w:r>
        <w:rPr>
          <w:rFonts w:hint="eastAsia" w:ascii="仿宋" w:hAnsi="仿宋" w:eastAsia="仿宋" w:cs="仿宋"/>
          <w:color w:val="auto"/>
        </w:rPr>
        <w:fldChar w:fldCharType="separate"/>
      </w:r>
      <w:r>
        <w:rPr>
          <w:rFonts w:hint="eastAsia" w:ascii="黑体" w:hAnsi="黑体" w:eastAsia="黑体" w:cs="黑体"/>
          <w:color w:val="auto"/>
          <w:sz w:val="32"/>
          <w:szCs w:val="32"/>
        </w:rPr>
        <w:t>五、完善重点群体就业支持体系 促进多渠道就业创业</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1</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7</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"_Toc1294677656"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（二十）持续做好高校毕业生就业工作</w:t>
      </w:r>
      <w:r>
        <w:rPr>
          <w:rFonts w:hint="eastAsia" w:ascii="仿宋" w:hAnsi="仿宋" w:eastAsia="仿宋" w:cs="仿宋"/>
          <w:color w:val="auto"/>
          <w:sz w:val="32"/>
          <w:szCs w:val="32"/>
        </w:rPr>
        <w:tab/>
      </w:r>
      <w:r>
        <w:rPr>
          <w:rFonts w:hint="eastAsia" w:ascii="仿宋" w:hAnsi="仿宋" w:eastAsia="仿宋" w:cs="仿宋"/>
          <w:color w:val="auto"/>
          <w:sz w:val="32"/>
          <w:szCs w:val="32"/>
        </w:rPr>
        <w:t>1</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7</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"_Toc1740780786"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（二十一）高度重视城镇青年就业</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default" w:ascii="仿宋" w:hAnsi="仿宋" w:eastAsia="仿宋" w:cs="仿宋"/>
          <w:color w:val="auto"/>
          <w:sz w:val="32"/>
          <w:szCs w:val="32"/>
          <w:lang w:val="en"/>
        </w:rPr>
        <w:t>2</w:t>
      </w:r>
      <w:r>
        <w:rPr>
          <w:rFonts w:hint="eastAsia" w:ascii="仿宋" w:hAnsi="仿宋" w:eastAsia="仿宋" w:cs="仿宋"/>
          <w:color w:val="auto"/>
          <w:sz w:val="32"/>
          <w:szCs w:val="32"/>
          <w:lang w:val="en-US" w:eastAsia="zh-CN"/>
        </w:rPr>
        <w:t>0</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"_Toc255871457"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（二十二）加强退役军人就业保障</w:t>
      </w:r>
      <w:r>
        <w:rPr>
          <w:rFonts w:hint="eastAsia" w:ascii="仿宋" w:hAnsi="仿宋" w:eastAsia="仿宋" w:cs="仿宋"/>
          <w:color w:val="auto"/>
          <w:sz w:val="32"/>
          <w:szCs w:val="32"/>
        </w:rPr>
        <w:tab/>
      </w:r>
      <w:r>
        <w:rPr>
          <w:rFonts w:hint="default" w:ascii="仿宋" w:hAnsi="仿宋" w:eastAsia="仿宋" w:cs="仿宋"/>
          <w:color w:val="auto"/>
          <w:sz w:val="32"/>
          <w:szCs w:val="32"/>
          <w:lang w:val="en"/>
        </w:rPr>
        <w:t>2</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2</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"_Toc1105234190"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（二十三）推进农村劳动力转移就业</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default" w:ascii="仿宋" w:hAnsi="仿宋" w:eastAsia="仿宋" w:cs="仿宋"/>
          <w:color w:val="auto"/>
          <w:sz w:val="32"/>
          <w:szCs w:val="32"/>
          <w:lang w:val="en"/>
        </w:rPr>
        <w:t>2</w:t>
      </w:r>
      <w:r>
        <w:rPr>
          <w:rFonts w:hint="eastAsia" w:ascii="仿宋" w:hAnsi="仿宋" w:eastAsia="仿宋" w:cs="仿宋"/>
          <w:color w:val="auto"/>
          <w:sz w:val="32"/>
          <w:szCs w:val="32"/>
          <w:lang w:val="en-US" w:eastAsia="zh-CN"/>
        </w:rPr>
        <w:t>3</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"_Toc788372319"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（二十四）统筹其他重点群体就业</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default" w:ascii="仿宋" w:hAnsi="仿宋" w:eastAsia="仿宋" w:cs="仿宋"/>
          <w:color w:val="auto"/>
          <w:sz w:val="32"/>
          <w:szCs w:val="32"/>
          <w:lang w:val="en"/>
        </w:rPr>
        <w:t>2</w:t>
      </w:r>
      <w:r>
        <w:rPr>
          <w:rFonts w:hint="eastAsia" w:ascii="仿宋" w:hAnsi="仿宋" w:eastAsia="仿宋" w:cs="仿宋"/>
          <w:color w:val="auto"/>
          <w:sz w:val="32"/>
          <w:szCs w:val="32"/>
          <w:lang w:val="en-US" w:eastAsia="zh-CN"/>
        </w:rPr>
        <w:t>5</w:t>
      </w:r>
    </w:p>
    <w:p>
      <w:pPr>
        <w:pStyle w:val="14"/>
        <w:keepNext w:val="0"/>
        <w:keepLines w:val="0"/>
        <w:pageBreakBefore w:val="0"/>
        <w:tabs>
          <w:tab w:val="right" w:leader="dot" w:pos="8674"/>
        </w:tabs>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"_Toc1642040925" </w:instrText>
      </w:r>
      <w:r>
        <w:rPr>
          <w:rFonts w:hint="eastAsia" w:ascii="仿宋" w:hAnsi="仿宋" w:eastAsia="仿宋" w:cs="仿宋"/>
          <w:color w:val="auto"/>
        </w:rPr>
        <w:fldChar w:fldCharType="separate"/>
      </w:r>
      <w:r>
        <w:rPr>
          <w:rFonts w:hint="eastAsia" w:ascii="黑体" w:hAnsi="黑体" w:eastAsia="黑体" w:cs="黑体"/>
          <w:color w:val="auto"/>
          <w:sz w:val="32"/>
          <w:szCs w:val="32"/>
        </w:rPr>
        <w:t>六、提升劳动者技能素质 缓解结构性就业矛盾</w:t>
      </w:r>
      <w:r>
        <w:rPr>
          <w:rFonts w:hint="eastAsia" w:ascii="仿宋" w:hAnsi="仿宋" w:eastAsia="仿宋" w:cs="仿宋"/>
          <w:color w:val="auto"/>
          <w:sz w:val="32"/>
          <w:szCs w:val="32"/>
        </w:rPr>
        <w:tab/>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7</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"_Toc355438397"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（二十五）大规模多层次开展职业技能培训</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27</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"_Toc1652385539"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（二十六）构建系统完备的技能人才培养体系</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30</w:t>
      </w:r>
    </w:p>
    <w:p>
      <w:pPr>
        <w:pStyle w:val="14"/>
        <w:keepNext w:val="0"/>
        <w:keepLines w:val="0"/>
        <w:pageBreakBefore w:val="0"/>
        <w:tabs>
          <w:tab w:val="right" w:leader="dot" w:pos="8674"/>
        </w:tabs>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"_Toc44157885" </w:instrText>
      </w:r>
      <w:r>
        <w:rPr>
          <w:rFonts w:hint="eastAsia" w:ascii="仿宋" w:hAnsi="仿宋" w:eastAsia="仿宋" w:cs="仿宋"/>
          <w:color w:val="auto"/>
        </w:rPr>
        <w:fldChar w:fldCharType="separate"/>
      </w:r>
      <w:r>
        <w:rPr>
          <w:rFonts w:hint="eastAsia" w:ascii="黑体" w:hAnsi="黑体" w:eastAsia="黑体" w:cs="黑体"/>
          <w:color w:val="auto"/>
          <w:sz w:val="32"/>
          <w:szCs w:val="32"/>
        </w:rPr>
        <w:t>七、推进人力资源市场体系建设 健全公共就业服务体系</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32</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"_Toc1355046565"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（二十七）建设高标准人力资源市场体系</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33</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"_Toc1835472512"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（二十八）健全全方位公共就业服务体系和提质增效</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34</w:t>
      </w:r>
    </w:p>
    <w:p>
      <w:pPr>
        <w:pStyle w:val="14"/>
        <w:keepNext w:val="0"/>
        <w:keepLines w:val="0"/>
        <w:pageBreakBefore w:val="0"/>
        <w:tabs>
          <w:tab w:val="right" w:leader="dot" w:pos="8674"/>
        </w:tabs>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"_Toc1083223617" </w:instrText>
      </w:r>
      <w:r>
        <w:rPr>
          <w:rFonts w:hint="eastAsia" w:ascii="仿宋" w:hAnsi="仿宋" w:eastAsia="仿宋" w:cs="仿宋"/>
          <w:color w:val="auto"/>
        </w:rPr>
        <w:fldChar w:fldCharType="separate"/>
      </w:r>
      <w:r>
        <w:rPr>
          <w:rFonts w:hint="eastAsia" w:ascii="黑体" w:hAnsi="黑体" w:eastAsia="黑体" w:cs="黑体"/>
          <w:color w:val="auto"/>
          <w:sz w:val="32"/>
          <w:szCs w:val="32"/>
        </w:rPr>
        <w:t>八、优化劳动者就业环境 提升劳动者收入和权益保障水平</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35</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"_Toc986759530"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（二十九）改善劳动者就业条件</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36</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"_Toc950086101"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（三十）促进平等就业</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37</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"_Toc659454368"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（三十一）维护劳动者合法权益</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37</w:t>
      </w:r>
    </w:p>
    <w:p>
      <w:pPr>
        <w:pStyle w:val="14"/>
        <w:keepNext w:val="0"/>
        <w:keepLines w:val="0"/>
        <w:pageBreakBefore w:val="0"/>
        <w:tabs>
          <w:tab w:val="right" w:leader="dot" w:pos="8674"/>
        </w:tabs>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"_Toc1873911618" </w:instrText>
      </w:r>
      <w:r>
        <w:rPr>
          <w:rFonts w:hint="eastAsia" w:ascii="仿宋" w:hAnsi="仿宋" w:eastAsia="仿宋" w:cs="仿宋"/>
          <w:color w:val="auto"/>
        </w:rPr>
        <w:fldChar w:fldCharType="separate"/>
      </w:r>
      <w:r>
        <w:rPr>
          <w:rFonts w:hint="eastAsia" w:ascii="黑体" w:hAnsi="黑体" w:eastAsia="黑体" w:cs="黑体"/>
          <w:color w:val="auto"/>
          <w:sz w:val="32"/>
          <w:szCs w:val="32"/>
        </w:rPr>
        <w:t>九、妥善应对潜在影响 防范化解规模性失业风险</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38</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"_Toc1487285673"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（三十二）健全监测预警机制</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38</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"_Toc534605394"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（三十三）全面强化风险应对处置</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39</w:t>
      </w:r>
    </w:p>
    <w:p>
      <w:pPr>
        <w:pStyle w:val="14"/>
        <w:keepNext w:val="0"/>
        <w:keepLines w:val="0"/>
        <w:pageBreakBefore w:val="0"/>
        <w:tabs>
          <w:tab w:val="right" w:leader="dot" w:pos="8674"/>
        </w:tabs>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"_Toc1850858675" </w:instrText>
      </w:r>
      <w:r>
        <w:rPr>
          <w:rFonts w:hint="eastAsia" w:ascii="仿宋" w:hAnsi="仿宋" w:eastAsia="仿宋" w:cs="仿宋"/>
          <w:color w:val="auto"/>
        </w:rPr>
        <w:fldChar w:fldCharType="separate"/>
      </w:r>
      <w:r>
        <w:rPr>
          <w:rFonts w:hint="eastAsia" w:ascii="黑体" w:hAnsi="黑体" w:eastAsia="黑体" w:cs="黑体"/>
          <w:color w:val="auto"/>
          <w:sz w:val="32"/>
          <w:szCs w:val="32"/>
        </w:rPr>
        <w:t>十、实施更加有力的保障措施 确保规划任务落实落地</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40</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"_Toc588773210"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（三十四）加强党的领导</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40</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"_Toc996751176"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（三十五）强化资金保障</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40</w:t>
      </w:r>
    </w:p>
    <w:p>
      <w:pPr>
        <w:pStyle w:val="15"/>
        <w:keepNext w:val="0"/>
        <w:keepLines w:val="0"/>
        <w:pageBreakBefore w:val="0"/>
        <w:tabs>
          <w:tab w:val="right" w:leader="dot" w:pos="8674"/>
        </w:tabs>
        <w:kinsoku/>
        <w:wordWrap/>
        <w:overflowPunct/>
        <w:topLinePunct w:val="0"/>
        <w:autoSpaceDE/>
        <w:autoSpaceDN/>
        <w:bidi w:val="0"/>
        <w:adjustRightInd/>
        <w:snapToGrid/>
        <w:spacing w:line="560" w:lineRule="exact"/>
        <w:ind w:left="0" w:leftChars="0"/>
        <w:jc w:val="both"/>
        <w:textAlignment w:val="auto"/>
        <w:rPr>
          <w:rFonts w:hint="eastAsia" w:ascii="仿宋" w:hAnsi="仿宋" w:eastAsia="仿宋" w:cs="仿宋"/>
          <w:color w:val="auto"/>
        </w:rPr>
        <w:sectPr>
          <w:footerReference r:id="rId7" w:type="default"/>
          <w:footerReference r:id="rId8" w:type="even"/>
          <w:pgSz w:w="11906" w:h="16838"/>
          <w:pgMar w:top="1440" w:right="1800" w:bottom="1440" w:left="1800" w:header="851" w:footer="992" w:gutter="0"/>
          <w:pgNumType w:fmt="decimal" w:start="1"/>
          <w:cols w:space="425" w:num="1"/>
          <w:docGrid w:type="lines" w:linePitch="312" w:charSpace="0"/>
        </w:sectPr>
      </w:pPr>
    </w:p>
    <w:p>
      <w:pPr>
        <w:pStyle w:val="15"/>
        <w:tabs>
          <w:tab w:val="right" w:leader="dot" w:pos="8674"/>
        </w:tabs>
        <w:spacing w:line="600" w:lineRule="exact"/>
        <w:ind w:left="0" w:leftChars="0"/>
        <w:jc w:val="both"/>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"_Toc254967947"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（三十六）提升政策效果</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41</w:t>
      </w:r>
    </w:p>
    <w:p>
      <w:pPr>
        <w:pStyle w:val="15"/>
        <w:tabs>
          <w:tab w:val="right" w:leader="dot" w:pos="8674"/>
        </w:tabs>
        <w:spacing w:line="600" w:lineRule="exact"/>
        <w:ind w:left="0" w:leftChars="0"/>
        <w:jc w:val="both"/>
        <w:rPr>
          <w:rFonts w:hint="default" w:ascii="仿宋" w:hAnsi="仿宋" w:eastAsia="仿宋" w:cs="仿宋"/>
          <w:color w:val="auto"/>
          <w:sz w:val="32"/>
          <w:szCs w:val="32"/>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"_Toc1206679308"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（三十七）鼓励探索创新</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41</w:t>
      </w:r>
    </w:p>
    <w:p>
      <w:pPr>
        <w:pStyle w:val="15"/>
        <w:tabs>
          <w:tab w:val="right" w:leader="dot" w:pos="8674"/>
        </w:tabs>
        <w:spacing w:line="600" w:lineRule="exact"/>
        <w:ind w:left="0" w:leftChars="0"/>
        <w:jc w:val="both"/>
        <w:rPr>
          <w:rFonts w:hint="default" w:ascii="仿宋" w:hAnsi="仿宋" w:eastAsia="仿宋" w:cs="仿宋"/>
          <w:color w:val="auto"/>
          <w:lang w:val="en-US" w:eastAsia="zh-CN"/>
        </w:rPr>
      </w:pPr>
      <w:r>
        <w:rPr>
          <w:rFonts w:hint="eastAsia" w:ascii="仿宋" w:hAnsi="仿宋" w:eastAsia="仿宋" w:cs="仿宋"/>
          <w:color w:val="auto"/>
        </w:rPr>
        <w:fldChar w:fldCharType="begin"/>
      </w:r>
      <w:r>
        <w:rPr>
          <w:rFonts w:hint="eastAsia" w:ascii="仿宋" w:hAnsi="仿宋" w:eastAsia="仿宋" w:cs="仿宋"/>
          <w:color w:val="auto"/>
        </w:rPr>
        <w:instrText xml:space="preserve"> HYPERLINK \l "_Toc761670016" </w:instrText>
      </w:r>
      <w:r>
        <w:rPr>
          <w:rFonts w:hint="eastAsia" w:ascii="仿宋" w:hAnsi="仿宋" w:eastAsia="仿宋" w:cs="仿宋"/>
          <w:color w:val="auto"/>
        </w:rPr>
        <w:fldChar w:fldCharType="separate"/>
      </w:r>
      <w:r>
        <w:rPr>
          <w:rFonts w:hint="eastAsia" w:ascii="仿宋" w:hAnsi="仿宋" w:eastAsia="仿宋" w:cs="仿宋"/>
          <w:color w:val="auto"/>
          <w:sz w:val="32"/>
          <w:szCs w:val="32"/>
        </w:rPr>
        <w:t>（三十八）认真组织实施</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lang w:val="en-US" w:eastAsia="zh-CN"/>
        </w:rPr>
        <w:t>41</w:t>
      </w:r>
    </w:p>
    <w:p>
      <w:pPr>
        <w:pStyle w:val="15"/>
        <w:tabs>
          <w:tab w:val="right" w:leader="dot" w:pos="8674"/>
        </w:tabs>
        <w:spacing w:line="600" w:lineRule="exact"/>
        <w:ind w:left="0" w:leftChars="0"/>
        <w:jc w:val="both"/>
        <w:rPr>
          <w:color w:val="auto"/>
        </w:rPr>
      </w:pPr>
    </w:p>
    <w:p>
      <w:pPr>
        <w:pStyle w:val="15"/>
        <w:tabs>
          <w:tab w:val="right" w:leader="dot" w:pos="8674"/>
        </w:tabs>
        <w:spacing w:line="600" w:lineRule="exact"/>
        <w:ind w:left="0" w:leftChars="0"/>
        <w:jc w:val="both"/>
        <w:rPr>
          <w:color w:val="auto"/>
        </w:rPr>
      </w:pPr>
    </w:p>
    <w:p>
      <w:pPr>
        <w:pStyle w:val="15"/>
        <w:tabs>
          <w:tab w:val="right" w:leader="dot" w:pos="8674"/>
        </w:tabs>
        <w:spacing w:line="600" w:lineRule="exact"/>
        <w:ind w:left="0" w:leftChars="0"/>
        <w:jc w:val="both"/>
        <w:rPr>
          <w:color w:val="auto"/>
        </w:rPr>
      </w:pPr>
    </w:p>
    <w:p>
      <w:pPr>
        <w:pStyle w:val="15"/>
        <w:tabs>
          <w:tab w:val="right" w:leader="dot" w:pos="8674"/>
        </w:tabs>
        <w:spacing w:line="600" w:lineRule="exact"/>
        <w:ind w:left="0" w:leftChars="0"/>
        <w:jc w:val="both"/>
        <w:rPr>
          <w:color w:val="auto"/>
        </w:rPr>
      </w:pPr>
    </w:p>
    <w:p>
      <w:pPr>
        <w:pStyle w:val="15"/>
        <w:tabs>
          <w:tab w:val="right" w:leader="dot" w:pos="8674"/>
        </w:tabs>
        <w:spacing w:line="600" w:lineRule="exact"/>
        <w:ind w:left="0" w:leftChars="0"/>
        <w:jc w:val="both"/>
        <w:rPr>
          <w:color w:val="auto"/>
        </w:rPr>
      </w:pPr>
    </w:p>
    <w:p>
      <w:pPr>
        <w:pStyle w:val="15"/>
        <w:tabs>
          <w:tab w:val="right" w:leader="dot" w:pos="8674"/>
        </w:tabs>
        <w:spacing w:line="600" w:lineRule="exact"/>
        <w:ind w:left="0" w:leftChars="0"/>
        <w:jc w:val="both"/>
        <w:rPr>
          <w:color w:val="auto"/>
        </w:rPr>
      </w:pPr>
    </w:p>
    <w:p>
      <w:pPr>
        <w:pStyle w:val="15"/>
        <w:tabs>
          <w:tab w:val="right" w:leader="dot" w:pos="8674"/>
        </w:tabs>
        <w:spacing w:line="600" w:lineRule="exact"/>
        <w:ind w:left="0" w:leftChars="0"/>
        <w:jc w:val="both"/>
        <w:rPr>
          <w:color w:val="auto"/>
        </w:rPr>
      </w:pPr>
    </w:p>
    <w:p>
      <w:pPr>
        <w:pStyle w:val="15"/>
        <w:tabs>
          <w:tab w:val="right" w:leader="dot" w:pos="8674"/>
        </w:tabs>
        <w:spacing w:line="600" w:lineRule="exact"/>
        <w:ind w:left="0" w:leftChars="0"/>
        <w:jc w:val="both"/>
        <w:rPr>
          <w:color w:val="auto"/>
        </w:rPr>
      </w:pPr>
    </w:p>
    <w:p>
      <w:pPr>
        <w:pStyle w:val="15"/>
        <w:tabs>
          <w:tab w:val="right" w:leader="dot" w:pos="8674"/>
        </w:tabs>
        <w:spacing w:line="600" w:lineRule="exact"/>
        <w:ind w:left="0" w:leftChars="0"/>
        <w:jc w:val="both"/>
        <w:rPr>
          <w:color w:val="auto"/>
        </w:rPr>
      </w:pPr>
    </w:p>
    <w:p>
      <w:pPr>
        <w:pStyle w:val="15"/>
        <w:tabs>
          <w:tab w:val="right" w:leader="dot" w:pos="8674"/>
        </w:tabs>
        <w:spacing w:line="600" w:lineRule="exact"/>
        <w:ind w:left="0" w:leftChars="0"/>
        <w:jc w:val="both"/>
        <w:rPr>
          <w:color w:val="auto"/>
        </w:rPr>
      </w:pPr>
    </w:p>
    <w:p>
      <w:pPr>
        <w:pStyle w:val="15"/>
        <w:tabs>
          <w:tab w:val="right" w:leader="dot" w:pos="8674"/>
        </w:tabs>
        <w:spacing w:line="600" w:lineRule="exact"/>
        <w:ind w:left="0" w:leftChars="0"/>
        <w:jc w:val="both"/>
        <w:rPr>
          <w:rFonts w:ascii="宋体" w:hAnsi="宋体" w:eastAsia="方正仿宋_GBK" w:cs="方正仿宋_GBK"/>
          <w:color w:val="auto"/>
          <w:sz w:val="32"/>
          <w:szCs w:val="32"/>
        </w:rPr>
      </w:pPr>
    </w:p>
    <w:p>
      <w:pPr>
        <w:widowControl/>
        <w:spacing w:line="600" w:lineRule="exact"/>
        <w:rPr>
          <w:rFonts w:ascii="宋体" w:hAnsi="宋体" w:eastAsia="方正仿宋_GBK" w:cs="方正仿宋_GBK"/>
          <w:color w:val="auto"/>
          <w:kern w:val="0"/>
          <w:sz w:val="32"/>
          <w:szCs w:val="32"/>
        </w:rPr>
      </w:pPr>
    </w:p>
    <w:p>
      <w:pPr>
        <w:pStyle w:val="10"/>
        <w:rPr>
          <w:color w:val="auto"/>
        </w:rPr>
      </w:pPr>
    </w:p>
    <w:p>
      <w:pPr>
        <w:widowControl/>
        <w:spacing w:line="600" w:lineRule="exact"/>
        <w:rPr>
          <w:rFonts w:ascii="宋体" w:hAnsi="宋体" w:eastAsia="方正仿宋_GBK" w:cs="方正仿宋_GBK"/>
          <w:color w:val="auto"/>
          <w:kern w:val="0"/>
          <w:sz w:val="32"/>
          <w:szCs w:val="32"/>
        </w:rPr>
      </w:pPr>
    </w:p>
    <w:p>
      <w:pPr>
        <w:widowControl/>
        <w:spacing w:line="600" w:lineRule="exact"/>
        <w:rPr>
          <w:rFonts w:ascii="宋体" w:hAnsi="宋体" w:eastAsia="方正仿宋_GBK" w:cs="方正仿宋_GBK"/>
          <w:color w:val="auto"/>
          <w:kern w:val="0"/>
          <w:sz w:val="32"/>
          <w:szCs w:val="32"/>
        </w:rPr>
      </w:pPr>
    </w:p>
    <w:p>
      <w:pPr>
        <w:widowControl/>
        <w:spacing w:line="600" w:lineRule="exact"/>
        <w:rPr>
          <w:rFonts w:ascii="宋体" w:hAnsi="宋体" w:eastAsia="方正仿宋_GBK" w:cs="方正仿宋_GBK"/>
          <w:color w:val="auto"/>
          <w:kern w:val="0"/>
          <w:sz w:val="32"/>
          <w:szCs w:val="32"/>
        </w:rPr>
      </w:pPr>
    </w:p>
    <w:p>
      <w:pPr>
        <w:widowControl/>
        <w:spacing w:line="600" w:lineRule="exact"/>
        <w:rPr>
          <w:rFonts w:ascii="宋体" w:hAnsi="宋体" w:eastAsia="方正仿宋_GBK" w:cs="方正仿宋_GBK"/>
          <w:color w:val="auto"/>
          <w:kern w:val="0"/>
          <w:sz w:val="32"/>
          <w:szCs w:val="32"/>
        </w:rPr>
      </w:pPr>
    </w:p>
    <w:p>
      <w:pPr>
        <w:widowControl/>
        <w:spacing w:line="600" w:lineRule="exact"/>
        <w:rPr>
          <w:rFonts w:ascii="宋体" w:hAnsi="宋体" w:eastAsia="方正仿宋_GBK" w:cs="方正仿宋_GBK"/>
          <w:color w:val="auto"/>
          <w:kern w:val="0"/>
          <w:sz w:val="32"/>
          <w:szCs w:val="32"/>
        </w:rPr>
      </w:pPr>
    </w:p>
    <w:p>
      <w:pPr>
        <w:widowControl/>
        <w:spacing w:line="600" w:lineRule="exact"/>
        <w:rPr>
          <w:rFonts w:ascii="宋体" w:hAnsi="宋体" w:eastAsia="方正仿宋_GBK" w:cs="方正仿宋_GBK"/>
          <w:color w:val="auto"/>
          <w:kern w:val="0"/>
          <w:sz w:val="32"/>
          <w:szCs w:val="32"/>
        </w:rPr>
      </w:pPr>
    </w:p>
    <w:p>
      <w:pPr>
        <w:widowControl/>
        <w:spacing w:line="600" w:lineRule="exact"/>
        <w:rPr>
          <w:rFonts w:ascii="宋体" w:hAnsi="宋体" w:eastAsia="方正仿宋_GBK" w:cs="方正仿宋_GBK"/>
          <w:color w:val="auto"/>
          <w:kern w:val="0"/>
          <w:sz w:val="32"/>
          <w:szCs w:val="32"/>
        </w:rPr>
      </w:pPr>
    </w:p>
    <w:p>
      <w:pPr>
        <w:widowControl/>
        <w:spacing w:line="600" w:lineRule="exact"/>
        <w:jc w:val="center"/>
        <w:rPr>
          <w:rFonts w:hint="eastAsia" w:ascii="仿宋" w:hAnsi="仿宋" w:eastAsia="仿宋" w:cs="仿宋"/>
          <w:b/>
          <w:bCs/>
          <w:color w:val="auto"/>
          <w:kern w:val="0"/>
          <w:sz w:val="32"/>
          <w:szCs w:val="32"/>
        </w:rPr>
        <w:sectPr>
          <w:footerReference r:id="rId9" w:type="default"/>
          <w:footerReference r:id="rId10" w:type="even"/>
          <w:pgSz w:w="11906" w:h="16838"/>
          <w:pgMar w:top="1440" w:right="1800" w:bottom="1440" w:left="1800" w:header="851" w:footer="992" w:gutter="0"/>
          <w:pgNumType w:fmt="decimal"/>
          <w:cols w:space="425" w:num="1"/>
          <w:docGrid w:type="lines" w:linePitch="312" w:charSpace="0"/>
        </w:sectPr>
      </w:pPr>
    </w:p>
    <w:p>
      <w:pPr>
        <w:widowControl/>
        <w:spacing w:line="600" w:lineRule="exact"/>
        <w:jc w:val="center"/>
        <w:rPr>
          <w:rFonts w:hint="eastAsia" w:ascii="黑体" w:hAnsi="黑体" w:eastAsia="黑体" w:cs="黑体"/>
          <w:b w:val="0"/>
          <w:bCs w:val="0"/>
          <w:color w:val="auto"/>
          <w:sz w:val="32"/>
          <w:szCs w:val="32"/>
        </w:rPr>
      </w:pPr>
      <w:r>
        <w:rPr>
          <w:rFonts w:hint="eastAsia" w:ascii="黑体" w:hAnsi="黑体" w:eastAsia="黑体" w:cs="黑体"/>
          <w:b w:val="0"/>
          <w:bCs w:val="0"/>
          <w:color w:val="auto"/>
          <w:kern w:val="0"/>
          <w:sz w:val="32"/>
          <w:szCs w:val="32"/>
        </w:rPr>
        <w:t>前 言</w:t>
      </w:r>
    </w:p>
    <w:p>
      <w:pPr>
        <w:pageBreakBefore w:val="0"/>
        <w:kinsoku/>
        <w:wordWrap/>
        <w:topLinePunct w:val="0"/>
        <w:autoSpaceDE/>
        <w:autoSpaceDN/>
        <w:bidi w:val="0"/>
        <w:spacing w:line="600" w:lineRule="exact"/>
        <w:ind w:firstLine="616"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pacing w:val="-6"/>
          <w:sz w:val="32"/>
          <w:szCs w:val="32"/>
        </w:rPr>
        <w:t>就业是最大的民生，也是经济发展最基本的支撑。</w:t>
      </w:r>
      <w:r>
        <w:rPr>
          <w:rFonts w:hint="eastAsia" w:ascii="仿宋" w:hAnsi="仿宋" w:eastAsia="仿宋" w:cs="仿宋"/>
          <w:color w:val="auto"/>
          <w:spacing w:val="-6"/>
          <w:sz w:val="32"/>
          <w:szCs w:val="32"/>
          <w:lang w:eastAsia="zh-CN"/>
        </w:rPr>
        <w:t>习近平</w:t>
      </w:r>
      <w:r>
        <w:rPr>
          <w:rFonts w:hint="eastAsia" w:ascii="仿宋" w:hAnsi="仿宋" w:eastAsia="仿宋" w:cs="仿宋"/>
          <w:color w:val="auto"/>
          <w:sz w:val="32"/>
          <w:szCs w:val="32"/>
          <w:lang w:eastAsia="zh-CN"/>
        </w:rPr>
        <w:t>总书记强调：“要坚持就业优先战略，把解决人民群众就业问题放在更加突出的位置，努力创造更多就业岗位”。</w:t>
      </w:r>
      <w:r>
        <w:rPr>
          <w:rFonts w:hint="eastAsia" w:ascii="仿宋" w:hAnsi="仿宋" w:eastAsia="仿宋" w:cs="仿宋"/>
          <w:color w:val="auto"/>
          <w:sz w:val="32"/>
          <w:szCs w:val="32"/>
        </w:rPr>
        <w:t>十九届五中全会将实现更加充分更高质量就业作为增进民生福祉的重要举措，要求扩大就业容量，提升就业质量。为深入落实党中央、国务院</w:t>
      </w:r>
      <w:r>
        <w:rPr>
          <w:rFonts w:hint="eastAsia" w:ascii="仿宋" w:hAnsi="仿宋" w:eastAsia="仿宋" w:cs="仿宋"/>
          <w:color w:val="auto"/>
          <w:sz w:val="32"/>
          <w:szCs w:val="32"/>
          <w:lang w:eastAsia="zh-CN"/>
        </w:rPr>
        <w:t>和省委、省政府</w:t>
      </w:r>
      <w:r>
        <w:rPr>
          <w:rFonts w:hint="eastAsia" w:ascii="仿宋" w:hAnsi="仿宋" w:eastAsia="仿宋" w:cs="仿宋"/>
          <w:color w:val="auto"/>
          <w:sz w:val="32"/>
          <w:szCs w:val="32"/>
        </w:rPr>
        <w:t>关于更高质量就业的</w:t>
      </w:r>
      <w:r>
        <w:rPr>
          <w:rFonts w:hint="eastAsia" w:ascii="仿宋" w:hAnsi="仿宋" w:eastAsia="仿宋" w:cs="仿宋"/>
          <w:color w:val="auto"/>
          <w:sz w:val="32"/>
          <w:szCs w:val="32"/>
          <w:lang w:eastAsia="zh-CN"/>
        </w:rPr>
        <w:t>系列</w:t>
      </w:r>
      <w:r>
        <w:rPr>
          <w:rFonts w:hint="eastAsia" w:ascii="仿宋" w:hAnsi="仿宋" w:eastAsia="仿宋" w:cs="仿宋"/>
          <w:color w:val="auto"/>
          <w:sz w:val="32"/>
          <w:szCs w:val="32"/>
        </w:rPr>
        <w:t>决策部署，全面贯彻习近平总书记视察云南重要讲话指示精神，根据</w:t>
      </w:r>
      <w:r>
        <w:rPr>
          <w:rFonts w:hint="eastAsia" w:ascii="仿宋" w:hAnsi="仿宋" w:eastAsia="仿宋" w:cs="仿宋"/>
          <w:color w:val="auto"/>
          <w:sz w:val="32"/>
          <w:szCs w:val="32"/>
          <w:lang w:eastAsia="zh-CN"/>
        </w:rPr>
        <w:t>国务院印发的《“十四五”就业规划》和</w:t>
      </w:r>
      <w:r>
        <w:rPr>
          <w:rFonts w:hint="eastAsia" w:ascii="仿宋" w:hAnsi="仿宋" w:eastAsia="仿宋" w:cs="仿宋"/>
          <w:color w:val="auto"/>
          <w:sz w:val="32"/>
          <w:szCs w:val="32"/>
        </w:rPr>
        <w:t>《云南省国民经济和社会发展第十四个五年规划和二〇三五年远景目标纲要》，编制《云南省“十四五”就业促进规划》。本规划提出了“十四五”时期促进就业的指导思想、基本原则、目标取向、重点任务和保障措施，是推动就业高质量发展的工作指引，也是全省各地区编制相关规划、制定相关政策的重要依据</w:t>
      </w:r>
      <w:bookmarkStart w:id="0" w:name="_Toc463085742"/>
      <w:bookmarkStart w:id="1" w:name="_Toc127503969"/>
      <w:bookmarkStart w:id="2" w:name="_Toc1616711558"/>
      <w:bookmarkStart w:id="3" w:name="_Toc1267149522"/>
      <w:bookmarkStart w:id="4" w:name="_Toc1571014426"/>
      <w:bookmarkStart w:id="5" w:name="_Toc783829075"/>
      <w:bookmarkStart w:id="6" w:name="_Toc191571685"/>
      <w:bookmarkStart w:id="7" w:name="_Toc1917615681"/>
      <w:bookmarkStart w:id="8" w:name="_Toc2057191248"/>
      <w:bookmarkStart w:id="9" w:name="_Toc1143743204"/>
      <w:bookmarkStart w:id="10" w:name="_Toc284075980"/>
      <w:bookmarkStart w:id="11" w:name="_Toc1809353991"/>
      <w:bookmarkStart w:id="12" w:name="_Toc1203099761"/>
      <w:bookmarkStart w:id="13" w:name="_Toc1829329047"/>
      <w:bookmarkStart w:id="14" w:name="_Toc856063095"/>
      <w:bookmarkStart w:id="15" w:name="_Toc1370257886"/>
      <w:bookmarkStart w:id="16" w:name="_Toc752271896"/>
      <w:r>
        <w:rPr>
          <w:rFonts w:hint="eastAsia" w:ascii="仿宋" w:hAnsi="仿宋" w:eastAsia="仿宋" w:cs="仿宋"/>
          <w:color w:val="auto"/>
          <w:sz w:val="32"/>
          <w:szCs w:val="32"/>
          <w:lang w:eastAsia="zh-CN"/>
        </w:rPr>
        <w:t>。</w:t>
      </w:r>
    </w:p>
    <w:p>
      <w:pPr>
        <w:pageBreakBefore w:val="0"/>
        <w:kinsoku/>
        <w:wordWrap/>
        <w:topLinePunct w:val="0"/>
        <w:autoSpaceDE/>
        <w:autoSpaceDN/>
        <w:bidi w:val="0"/>
        <w:spacing w:line="600" w:lineRule="exact"/>
        <w:textAlignment w:val="auto"/>
        <w:rPr>
          <w:rFonts w:hint="eastAsia" w:ascii="仿宋" w:hAnsi="仿宋" w:eastAsia="仿宋" w:cs="仿宋"/>
          <w:color w:val="auto"/>
          <w:sz w:val="32"/>
          <w:szCs w:val="32"/>
        </w:rPr>
      </w:pPr>
    </w:p>
    <w:p>
      <w:pPr>
        <w:pageBreakBefore w:val="0"/>
        <w:kinsoku/>
        <w:wordWrap/>
        <w:topLinePunct w:val="0"/>
        <w:autoSpaceDE/>
        <w:autoSpaceDN/>
        <w:bidi w:val="0"/>
        <w:spacing w:line="600" w:lineRule="exact"/>
        <w:textAlignment w:val="auto"/>
        <w:rPr>
          <w:rFonts w:hint="eastAsia" w:ascii="仿宋" w:hAnsi="仿宋" w:eastAsia="仿宋" w:cs="仿宋"/>
          <w:color w:val="auto"/>
          <w:sz w:val="32"/>
          <w:szCs w:val="32"/>
        </w:rPr>
      </w:pPr>
    </w:p>
    <w:p>
      <w:pPr>
        <w:pStyle w:val="10"/>
        <w:pageBreakBefore w:val="0"/>
        <w:kinsoku/>
        <w:wordWrap/>
        <w:topLinePunct w:val="0"/>
        <w:autoSpaceDE/>
        <w:autoSpaceDN/>
        <w:bidi w:val="0"/>
        <w:spacing w:line="600" w:lineRule="exact"/>
        <w:textAlignment w:val="auto"/>
        <w:rPr>
          <w:rFonts w:hint="eastAsia" w:ascii="仿宋" w:hAnsi="仿宋" w:eastAsia="仿宋" w:cs="仿宋"/>
          <w:color w:val="auto"/>
        </w:rPr>
      </w:pPr>
    </w:p>
    <w:p>
      <w:pPr>
        <w:pStyle w:val="10"/>
        <w:pageBreakBefore w:val="0"/>
        <w:kinsoku/>
        <w:wordWrap/>
        <w:topLinePunct w:val="0"/>
        <w:autoSpaceDE/>
        <w:autoSpaceDN/>
        <w:bidi w:val="0"/>
        <w:spacing w:line="600" w:lineRule="exact"/>
        <w:textAlignment w:val="auto"/>
        <w:rPr>
          <w:rFonts w:hint="eastAsia" w:ascii="仿宋" w:hAnsi="仿宋" w:eastAsia="仿宋" w:cs="仿宋"/>
          <w:color w:val="auto"/>
        </w:rPr>
      </w:pPr>
    </w:p>
    <w:p>
      <w:pPr>
        <w:pStyle w:val="10"/>
        <w:pageBreakBefore w:val="0"/>
        <w:kinsoku/>
        <w:wordWrap/>
        <w:topLinePunct w:val="0"/>
        <w:autoSpaceDE/>
        <w:autoSpaceDN/>
        <w:bidi w:val="0"/>
        <w:spacing w:line="600" w:lineRule="exact"/>
        <w:textAlignment w:val="auto"/>
        <w:rPr>
          <w:rFonts w:hint="eastAsia" w:ascii="仿宋" w:hAnsi="仿宋" w:eastAsia="仿宋" w:cs="仿宋"/>
          <w:color w:val="auto"/>
          <w:sz w:val="32"/>
          <w:szCs w:val="32"/>
        </w:rPr>
      </w:pPr>
    </w:p>
    <w:p>
      <w:pPr>
        <w:pStyle w:val="4"/>
        <w:keepNext/>
        <w:keepLines w:val="0"/>
        <w:pageBreakBefore w:val="0"/>
        <w:widowControl w:val="0"/>
        <w:kinsoku/>
        <w:wordWrap/>
        <w:overflowPunct w:val="0"/>
        <w:topLinePunct w:val="0"/>
        <w:autoSpaceDE/>
        <w:autoSpaceDN/>
        <w:bidi w:val="0"/>
        <w:adjustRightInd w:val="0"/>
        <w:snapToGrid w:val="0"/>
        <w:spacing w:before="0" w:after="0" w:line="600" w:lineRule="exact"/>
        <w:ind w:firstLine="640" w:firstLineChars="200"/>
        <w:textAlignment w:val="auto"/>
        <w:rPr>
          <w:rFonts w:hint="eastAsia" w:ascii="黑体" w:hAnsi="黑体" w:eastAsia="黑体" w:cs="黑体"/>
          <w:b w:val="0"/>
          <w:bCs/>
          <w:color w:val="auto"/>
          <w:sz w:val="32"/>
          <w:szCs w:val="32"/>
        </w:rPr>
      </w:pPr>
    </w:p>
    <w:p>
      <w:pPr>
        <w:pStyle w:val="4"/>
        <w:keepNext/>
        <w:keepLines w:val="0"/>
        <w:pageBreakBefore w:val="0"/>
        <w:widowControl w:val="0"/>
        <w:kinsoku/>
        <w:wordWrap/>
        <w:overflowPunct w:val="0"/>
        <w:topLinePunct w:val="0"/>
        <w:autoSpaceDE/>
        <w:autoSpaceDN/>
        <w:bidi w:val="0"/>
        <w:adjustRightInd w:val="0"/>
        <w:snapToGrid w:val="0"/>
        <w:spacing w:before="0" w:after="0"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一、发展形势</w:t>
      </w:r>
    </w:p>
    <w:p>
      <w:pPr>
        <w:pStyle w:val="4"/>
        <w:keepLines w:val="0"/>
        <w:pageBreakBefore w:val="0"/>
        <w:kinsoku/>
        <w:wordWrap/>
        <w:overflowPunct w:val="0"/>
        <w:topLinePunct w:val="0"/>
        <w:autoSpaceDE/>
        <w:autoSpaceDN/>
        <w:bidi w:val="0"/>
        <w:adjustRightInd w:val="0"/>
        <w:snapToGrid w:val="0"/>
        <w:spacing w:before="0" w:after="0" w:line="600" w:lineRule="exact"/>
        <w:ind w:firstLine="640" w:firstLineChars="200"/>
        <w:textAlignment w:val="auto"/>
        <w:rPr>
          <w:rFonts w:hint="eastAsia" w:ascii="楷体" w:hAnsi="楷体" w:eastAsia="楷体" w:cs="楷体"/>
          <w:b w:val="0"/>
          <w:bCs/>
          <w:color w:val="auto"/>
          <w:sz w:val="32"/>
          <w:szCs w:val="32"/>
          <w:lang w:eastAsia="zh-CN"/>
        </w:rPr>
      </w:pPr>
      <w:r>
        <w:rPr>
          <w:rFonts w:hint="eastAsia" w:ascii="楷体" w:hAnsi="楷体" w:eastAsia="楷体" w:cs="楷体"/>
          <w:b w:val="0"/>
          <w:bCs/>
          <w:color w:val="auto"/>
          <w:sz w:val="32"/>
          <w:szCs w:val="32"/>
        </w:rPr>
        <w:t>（一）发展</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Fonts w:hint="eastAsia" w:ascii="楷体" w:hAnsi="楷体" w:eastAsia="楷体" w:cs="楷体"/>
          <w:b w:val="0"/>
          <w:bCs/>
          <w:color w:val="auto"/>
          <w:sz w:val="32"/>
          <w:szCs w:val="32"/>
          <w:lang w:eastAsia="zh-CN"/>
        </w:rPr>
        <w:t>基础</w:t>
      </w:r>
    </w:p>
    <w:p>
      <w:pPr>
        <w:pageBreakBefore w:val="0"/>
        <w:kinsoku/>
        <w:wordWrap/>
        <w:topLinePunct w:val="0"/>
        <w:autoSpaceDE/>
        <w:autoSpaceDN/>
        <w:bidi w:val="0"/>
        <w:spacing w:line="600" w:lineRule="exact"/>
        <w:ind w:firstLine="640" w:firstLineChars="200"/>
        <w:textAlignment w:val="auto"/>
        <w:rPr>
          <w:rFonts w:hint="eastAsia" w:ascii="方正仿宋_GBK" w:hAnsi="方正仿宋_GBK" w:eastAsia="方正仿宋_GBK" w:cs="方正仿宋_GBK"/>
          <w:bCs/>
          <w:snapToGrid w:val="0"/>
          <w:color w:val="auto"/>
          <w:kern w:val="2"/>
          <w:sz w:val="32"/>
          <w:szCs w:val="32"/>
        </w:rPr>
      </w:pPr>
      <w:r>
        <w:rPr>
          <w:rFonts w:hint="eastAsia" w:ascii="仿宋" w:hAnsi="仿宋" w:eastAsia="仿宋" w:cs="仿宋"/>
          <w:color w:val="auto"/>
          <w:sz w:val="32"/>
          <w:szCs w:val="32"/>
        </w:rPr>
        <w:t>“十三五”时期，面对复杂严峻的国内外经济形势和艰巨繁重的就业任务，我省认真贯彻党中央、国务院决策部署和省委</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省政府工作要求，沉着应对中美贸易摩擦、新冠肺炎疫情对就业造成的冲击，</w:t>
      </w:r>
      <w:r>
        <w:rPr>
          <w:rFonts w:hint="eastAsia" w:ascii="方正仿宋_GBK" w:hAnsi="方正仿宋_GBK" w:eastAsia="方正仿宋_GBK" w:cs="方正仿宋_GBK"/>
          <w:bCs/>
          <w:snapToGrid w:val="0"/>
          <w:color w:val="auto"/>
          <w:kern w:val="2"/>
          <w:sz w:val="32"/>
          <w:szCs w:val="32"/>
        </w:rPr>
        <w:t>大力实施就业优先战略，完善落实积极就业政策，通过抓实援企稳岗稳定就业，鼓励创业创新带动就业，</w:t>
      </w:r>
      <w:r>
        <w:rPr>
          <w:rFonts w:hint="eastAsia" w:ascii="方正仿宋_GBK" w:hAnsi="方正仿宋_GBK" w:eastAsia="方正仿宋_GBK" w:cs="方正仿宋_GBK"/>
          <w:bCs/>
          <w:snapToGrid w:val="0"/>
          <w:color w:val="auto"/>
          <w:kern w:val="2"/>
          <w:sz w:val="32"/>
          <w:szCs w:val="32"/>
          <w:lang w:eastAsia="zh-CN"/>
        </w:rPr>
        <w:t>加强技能培训改善就业，</w:t>
      </w:r>
      <w:r>
        <w:rPr>
          <w:rFonts w:hint="eastAsia" w:ascii="方正仿宋_GBK" w:hAnsi="方正仿宋_GBK" w:eastAsia="方正仿宋_GBK" w:cs="方正仿宋_GBK"/>
          <w:bCs/>
          <w:snapToGrid w:val="0"/>
          <w:color w:val="auto"/>
          <w:kern w:val="2"/>
          <w:sz w:val="32"/>
          <w:szCs w:val="32"/>
        </w:rPr>
        <w:t>支持新业态发展拓展就业，深化东西部劳务协作促进就业，</w:t>
      </w:r>
      <w:r>
        <w:rPr>
          <w:rFonts w:hint="eastAsia" w:ascii="方正仿宋_GBK" w:hAnsi="方正仿宋_GBK" w:eastAsia="方正仿宋_GBK" w:cs="方正仿宋_GBK"/>
          <w:bCs/>
          <w:snapToGrid w:val="0"/>
          <w:color w:val="auto"/>
          <w:kern w:val="2"/>
          <w:sz w:val="32"/>
          <w:szCs w:val="32"/>
          <w:lang w:eastAsia="zh-CN"/>
        </w:rPr>
        <w:t>全省就业规模不断扩大，就业结构持续改善，就业质量稳步提升，就业扶贫取得明显成效。</w:t>
      </w:r>
      <w:r>
        <w:rPr>
          <w:rFonts w:hint="eastAsia" w:ascii="方正仿宋_GBK" w:hAnsi="方正仿宋_GBK" w:eastAsia="方正仿宋_GBK" w:cs="方正仿宋_GBK"/>
          <w:bCs/>
          <w:snapToGrid w:val="0"/>
          <w:color w:val="auto"/>
          <w:kern w:val="2"/>
          <w:sz w:val="32"/>
          <w:szCs w:val="32"/>
        </w:rPr>
        <w:t>全省城镇新增就业人数由“十二五”</w:t>
      </w:r>
      <w:r>
        <w:rPr>
          <w:rFonts w:hint="eastAsia" w:ascii="方正仿宋_GBK" w:hAnsi="方正仿宋_GBK" w:eastAsia="方正仿宋_GBK" w:cs="方正仿宋_GBK"/>
          <w:bCs/>
          <w:snapToGrid w:val="0"/>
          <w:color w:val="auto"/>
          <w:kern w:val="2"/>
          <w:sz w:val="32"/>
          <w:szCs w:val="32"/>
          <w:lang w:eastAsia="zh-CN"/>
        </w:rPr>
        <w:t>期</w:t>
      </w:r>
      <w:r>
        <w:rPr>
          <w:rFonts w:hint="eastAsia" w:ascii="方正仿宋_GBK" w:hAnsi="方正仿宋_GBK" w:eastAsia="方正仿宋_GBK" w:cs="方正仿宋_GBK"/>
          <w:bCs/>
          <w:snapToGrid w:val="0"/>
          <w:color w:val="auto"/>
          <w:kern w:val="2"/>
          <w:sz w:val="32"/>
          <w:szCs w:val="32"/>
        </w:rPr>
        <w:t>末的</w:t>
      </w:r>
      <w:r>
        <w:rPr>
          <w:rFonts w:hint="eastAsia" w:ascii="方正仿宋_GBK" w:hAnsi="方正仿宋_GBK" w:eastAsia="方正仿宋_GBK" w:cs="方正仿宋_GBK"/>
          <w:bCs/>
          <w:snapToGrid w:val="0"/>
          <w:color w:val="auto"/>
          <w:kern w:val="2"/>
          <w:sz w:val="32"/>
          <w:szCs w:val="32"/>
          <w:u w:val="none"/>
        </w:rPr>
        <w:t>165.91万人增至</w:t>
      </w:r>
      <w:r>
        <w:rPr>
          <w:rFonts w:hint="eastAsia" w:ascii="方正仿宋_GBK" w:hAnsi="方正仿宋_GBK" w:eastAsia="方正仿宋_GBK" w:cs="方正仿宋_GBK"/>
          <w:bCs/>
          <w:snapToGrid w:val="0"/>
          <w:color w:val="auto"/>
          <w:kern w:val="2"/>
          <w:sz w:val="32"/>
          <w:szCs w:val="32"/>
          <w:u w:val="none"/>
          <w:lang w:val="en-US" w:eastAsia="zh-CN"/>
        </w:rPr>
        <w:t>248.51</w:t>
      </w:r>
      <w:r>
        <w:rPr>
          <w:rFonts w:hint="eastAsia" w:ascii="方正仿宋_GBK" w:hAnsi="方正仿宋_GBK" w:eastAsia="方正仿宋_GBK" w:cs="方正仿宋_GBK"/>
          <w:bCs/>
          <w:snapToGrid w:val="0"/>
          <w:color w:val="auto"/>
          <w:kern w:val="2"/>
          <w:sz w:val="32"/>
          <w:szCs w:val="32"/>
          <w:u w:val="none"/>
        </w:rPr>
        <w:t>万人</w:t>
      </w:r>
      <w:r>
        <w:rPr>
          <w:rFonts w:hint="eastAsia" w:ascii="方正仿宋_GBK" w:hAnsi="方正仿宋_GBK" w:eastAsia="方正仿宋_GBK" w:cs="方正仿宋_GBK"/>
          <w:bCs/>
          <w:snapToGrid w:val="0"/>
          <w:color w:val="auto"/>
          <w:kern w:val="2"/>
          <w:sz w:val="32"/>
          <w:szCs w:val="32"/>
          <w:u w:val="none"/>
          <w:lang w:eastAsia="zh-CN"/>
        </w:rPr>
        <w:t>、</w:t>
      </w:r>
      <w:r>
        <w:rPr>
          <w:rFonts w:hint="eastAsia" w:ascii="方正仿宋_GBK" w:hAnsi="方正仿宋_GBK" w:eastAsia="方正仿宋_GBK" w:cs="方正仿宋_GBK"/>
          <w:bCs/>
          <w:snapToGrid w:val="0"/>
          <w:color w:val="auto"/>
          <w:kern w:val="2"/>
          <w:sz w:val="32"/>
          <w:szCs w:val="32"/>
          <w:u w:val="none"/>
        </w:rPr>
        <w:t>增幅</w:t>
      </w:r>
      <w:r>
        <w:rPr>
          <w:rFonts w:hint="eastAsia" w:ascii="方正仿宋_GBK" w:hAnsi="方正仿宋_GBK" w:eastAsia="方正仿宋_GBK" w:cs="方正仿宋_GBK"/>
          <w:bCs/>
          <w:snapToGrid w:val="0"/>
          <w:color w:val="auto"/>
          <w:kern w:val="2"/>
          <w:sz w:val="32"/>
          <w:szCs w:val="32"/>
          <w:u w:val="none"/>
          <w:lang w:val="en-US" w:eastAsia="zh-CN"/>
        </w:rPr>
        <w:t>49.8</w:t>
      </w:r>
      <w:r>
        <w:rPr>
          <w:rFonts w:hint="eastAsia" w:ascii="方正仿宋_GBK" w:hAnsi="方正仿宋_GBK" w:eastAsia="方正仿宋_GBK" w:cs="方正仿宋_GBK"/>
          <w:bCs/>
          <w:snapToGrid w:val="0"/>
          <w:color w:val="auto"/>
          <w:kern w:val="2"/>
          <w:sz w:val="32"/>
          <w:szCs w:val="32"/>
          <w:u w:val="none"/>
        </w:rPr>
        <w:t>%，帮助城镇失业人员再就业</w:t>
      </w:r>
      <w:r>
        <w:rPr>
          <w:rFonts w:hint="eastAsia" w:ascii="方正仿宋_GBK" w:hAnsi="方正仿宋_GBK" w:eastAsia="方正仿宋_GBK" w:cs="方正仿宋_GBK"/>
          <w:bCs/>
          <w:snapToGrid w:val="0"/>
          <w:color w:val="auto"/>
          <w:kern w:val="2"/>
          <w:sz w:val="32"/>
          <w:szCs w:val="32"/>
          <w:u w:val="none"/>
          <w:lang w:val="en-US" w:eastAsia="zh-CN"/>
        </w:rPr>
        <w:t>74.41</w:t>
      </w:r>
      <w:r>
        <w:rPr>
          <w:rFonts w:hint="eastAsia" w:ascii="方正仿宋_GBK" w:hAnsi="方正仿宋_GBK" w:eastAsia="方正仿宋_GBK" w:cs="方正仿宋_GBK"/>
          <w:bCs/>
          <w:snapToGrid w:val="0"/>
          <w:color w:val="auto"/>
          <w:kern w:val="2"/>
          <w:sz w:val="32"/>
          <w:szCs w:val="32"/>
          <w:u w:val="none"/>
        </w:rPr>
        <w:t>万人,帮助就业困难人员就业</w:t>
      </w:r>
      <w:r>
        <w:rPr>
          <w:rFonts w:hint="eastAsia" w:ascii="方正仿宋_GBK" w:hAnsi="方正仿宋_GBK" w:eastAsia="方正仿宋_GBK" w:cs="方正仿宋_GBK"/>
          <w:b w:val="0"/>
          <w:bCs/>
          <w:snapToGrid w:val="0"/>
          <w:color w:val="auto"/>
          <w:kern w:val="2"/>
          <w:sz w:val="32"/>
          <w:szCs w:val="32"/>
          <w:u w:val="none"/>
          <w:lang w:val="en-US" w:eastAsia="zh-CN"/>
        </w:rPr>
        <w:t>59.29</w:t>
      </w:r>
      <w:r>
        <w:rPr>
          <w:rFonts w:hint="eastAsia" w:ascii="方正仿宋_GBK" w:hAnsi="方正仿宋_GBK" w:eastAsia="方正仿宋_GBK" w:cs="方正仿宋_GBK"/>
          <w:bCs/>
          <w:snapToGrid w:val="0"/>
          <w:color w:val="auto"/>
          <w:kern w:val="2"/>
          <w:sz w:val="32"/>
          <w:szCs w:val="32"/>
          <w:u w:val="none"/>
        </w:rPr>
        <w:t>万人，</w:t>
      </w:r>
      <w:r>
        <w:rPr>
          <w:rFonts w:hint="eastAsia" w:ascii="方正仿宋_GBK" w:hAnsi="方正仿宋_GBK" w:eastAsia="方正仿宋_GBK" w:cs="方正仿宋_GBK"/>
          <w:bCs/>
          <w:snapToGrid w:val="0"/>
          <w:color w:val="auto"/>
          <w:kern w:val="2"/>
          <w:sz w:val="32"/>
          <w:szCs w:val="32"/>
          <w:u w:val="none"/>
          <w:lang w:eastAsia="zh-CN"/>
        </w:rPr>
        <w:t>均完成规划目标任务的</w:t>
      </w:r>
      <w:r>
        <w:rPr>
          <w:rFonts w:hint="eastAsia" w:ascii="方正仿宋_GBK" w:hAnsi="方正仿宋_GBK" w:eastAsia="方正仿宋_GBK" w:cs="方正仿宋_GBK"/>
          <w:bCs/>
          <w:snapToGrid w:val="0"/>
          <w:color w:val="auto"/>
          <w:kern w:val="2"/>
          <w:sz w:val="32"/>
          <w:szCs w:val="32"/>
          <w:u w:val="none"/>
          <w:lang w:val="en-US" w:eastAsia="zh-CN"/>
        </w:rPr>
        <w:t>110%以上</w:t>
      </w:r>
      <w:r>
        <w:rPr>
          <w:rFonts w:hint="eastAsia" w:ascii="方正仿宋_GBK" w:hAnsi="方正仿宋_GBK" w:eastAsia="方正仿宋_GBK" w:cs="方正仿宋_GBK"/>
          <w:bCs/>
          <w:snapToGrid w:val="0"/>
          <w:color w:val="auto"/>
          <w:kern w:val="2"/>
          <w:sz w:val="32"/>
          <w:szCs w:val="32"/>
          <w:u w:val="none"/>
          <w:lang w:eastAsia="zh-CN"/>
        </w:rPr>
        <w:t>；</w:t>
      </w:r>
      <w:r>
        <w:rPr>
          <w:rFonts w:hint="eastAsia" w:ascii="方正仿宋_GBK" w:hAnsi="方正仿宋_GBK" w:eastAsia="方正仿宋_GBK" w:cs="方正仿宋_GBK"/>
          <w:bCs/>
          <w:snapToGrid w:val="0"/>
          <w:color w:val="auto"/>
          <w:kern w:val="2"/>
          <w:sz w:val="32"/>
          <w:szCs w:val="32"/>
          <w:u w:val="none"/>
        </w:rPr>
        <w:t>农村劳动力转移就业</w:t>
      </w:r>
      <w:r>
        <w:rPr>
          <w:rFonts w:hint="eastAsia" w:ascii="方正仿宋_GBK" w:hAnsi="方正仿宋_GBK" w:eastAsia="方正仿宋_GBK" w:cs="方正仿宋_GBK"/>
          <w:bCs/>
          <w:snapToGrid w:val="0"/>
          <w:color w:val="auto"/>
          <w:kern w:val="2"/>
          <w:sz w:val="32"/>
          <w:szCs w:val="32"/>
          <w:u w:val="none"/>
          <w:lang w:eastAsia="zh-CN"/>
        </w:rPr>
        <w:t>人数屡创新高，超过</w:t>
      </w:r>
      <w:r>
        <w:rPr>
          <w:rFonts w:hint="eastAsia" w:ascii="方正仿宋_GBK" w:hAnsi="方正仿宋_GBK" w:eastAsia="方正仿宋_GBK" w:cs="方正仿宋_GBK"/>
          <w:bCs/>
          <w:snapToGrid w:val="0"/>
          <w:color w:val="auto"/>
          <w:kern w:val="2"/>
          <w:sz w:val="32"/>
          <w:szCs w:val="32"/>
          <w:u w:val="none"/>
          <w:lang w:val="en-US" w:eastAsia="zh-CN"/>
        </w:rPr>
        <w:t>1515万人，</w:t>
      </w:r>
      <w:r>
        <w:rPr>
          <w:rFonts w:hint="eastAsia" w:ascii="方正仿宋_GBK" w:hAnsi="方正仿宋_GBK" w:eastAsia="方正仿宋_GBK" w:cs="方正仿宋_GBK"/>
          <w:bCs/>
          <w:snapToGrid w:val="0"/>
          <w:color w:val="auto"/>
          <w:kern w:val="2"/>
          <w:sz w:val="32"/>
          <w:szCs w:val="32"/>
        </w:rPr>
        <w:t>全省贫困劳动力转移就业</w:t>
      </w:r>
      <w:r>
        <w:rPr>
          <w:rFonts w:hint="eastAsia" w:ascii="方正仿宋_GBK" w:hAnsi="方正仿宋_GBK" w:eastAsia="方正仿宋_GBK" w:cs="方正仿宋_GBK"/>
          <w:bCs/>
          <w:snapToGrid w:val="0"/>
          <w:color w:val="auto"/>
          <w:kern w:val="2"/>
          <w:sz w:val="32"/>
          <w:szCs w:val="32"/>
          <w:lang w:eastAsia="zh-CN"/>
        </w:rPr>
        <w:t>率达</w:t>
      </w:r>
      <w:r>
        <w:rPr>
          <w:rFonts w:hint="eastAsia" w:ascii="方正仿宋_GBK" w:hAnsi="方正仿宋_GBK" w:eastAsia="方正仿宋_GBK" w:cs="方正仿宋_GBK"/>
          <w:bCs/>
          <w:snapToGrid w:val="0"/>
          <w:color w:val="auto"/>
          <w:kern w:val="2"/>
          <w:sz w:val="32"/>
          <w:szCs w:val="32"/>
          <w:lang w:val="en-US" w:eastAsia="zh-CN"/>
        </w:rPr>
        <w:t>70.71%。</w:t>
      </w:r>
      <w:r>
        <w:rPr>
          <w:rFonts w:hint="eastAsia" w:ascii="方正仿宋_GBK" w:hAnsi="方正仿宋_GBK" w:eastAsia="方正仿宋_GBK" w:cs="方正仿宋_GBK"/>
          <w:bCs/>
          <w:snapToGrid w:val="0"/>
          <w:color w:val="auto"/>
          <w:kern w:val="2"/>
          <w:sz w:val="32"/>
          <w:szCs w:val="32"/>
        </w:rPr>
        <w:t>通过“贷免扶补”和创业担保贷款扶持创业</w:t>
      </w:r>
      <w:r>
        <w:rPr>
          <w:rFonts w:hint="eastAsia" w:ascii="方正仿宋_GBK" w:hAnsi="方正仿宋_GBK" w:eastAsia="方正仿宋_GBK" w:cs="方正仿宋_GBK"/>
          <w:bCs/>
          <w:snapToGrid w:val="0"/>
          <w:color w:val="auto"/>
          <w:kern w:val="2"/>
          <w:sz w:val="32"/>
          <w:szCs w:val="32"/>
          <w:lang w:val="en-US" w:eastAsia="zh-CN"/>
        </w:rPr>
        <w:t>62.26</w:t>
      </w:r>
      <w:r>
        <w:rPr>
          <w:rFonts w:hint="eastAsia" w:ascii="方正仿宋_GBK" w:hAnsi="方正仿宋_GBK" w:eastAsia="方正仿宋_GBK" w:cs="方正仿宋_GBK"/>
          <w:bCs/>
          <w:snapToGrid w:val="0"/>
          <w:color w:val="auto"/>
          <w:kern w:val="2"/>
          <w:sz w:val="32"/>
          <w:szCs w:val="32"/>
        </w:rPr>
        <w:t>万人，带动（吸纳）就业</w:t>
      </w:r>
      <w:r>
        <w:rPr>
          <w:rFonts w:hint="eastAsia" w:ascii="方正仿宋_GBK" w:hAnsi="方正仿宋_GBK" w:eastAsia="方正仿宋_GBK" w:cs="方正仿宋_GBK"/>
          <w:bCs/>
          <w:snapToGrid w:val="0"/>
          <w:color w:val="auto"/>
          <w:kern w:val="2"/>
          <w:sz w:val="32"/>
          <w:szCs w:val="32"/>
          <w:lang w:val="en-US" w:eastAsia="zh-CN"/>
        </w:rPr>
        <w:t>167.7</w:t>
      </w:r>
      <w:r>
        <w:rPr>
          <w:rFonts w:hint="eastAsia" w:ascii="方正仿宋_GBK" w:hAnsi="方正仿宋_GBK" w:eastAsia="方正仿宋_GBK" w:cs="方正仿宋_GBK"/>
          <w:bCs/>
          <w:snapToGrid w:val="0"/>
          <w:color w:val="auto"/>
          <w:kern w:val="2"/>
          <w:sz w:val="32"/>
          <w:szCs w:val="32"/>
        </w:rPr>
        <w:t>万人</w:t>
      </w:r>
      <w:r>
        <w:rPr>
          <w:rFonts w:hint="eastAsia" w:ascii="方正仿宋_GBK" w:hAnsi="方正仿宋_GBK" w:eastAsia="方正仿宋_GBK" w:cs="方正仿宋_GBK"/>
          <w:bCs/>
          <w:snapToGrid w:val="0"/>
          <w:color w:val="auto"/>
          <w:kern w:val="2"/>
          <w:sz w:val="32"/>
          <w:szCs w:val="32"/>
          <w:lang w:eastAsia="zh-CN"/>
        </w:rPr>
        <w:t>，</w:t>
      </w:r>
      <w:r>
        <w:rPr>
          <w:rFonts w:hint="eastAsia" w:ascii="方正仿宋_GBK" w:hAnsi="方正仿宋_GBK" w:eastAsia="方正仿宋_GBK" w:cs="方正仿宋_GBK"/>
          <w:bCs/>
          <w:snapToGrid w:val="0"/>
          <w:color w:val="auto"/>
          <w:kern w:val="2"/>
          <w:sz w:val="32"/>
          <w:szCs w:val="32"/>
        </w:rPr>
        <w:t>累计发放创业担保贷款</w:t>
      </w:r>
      <w:r>
        <w:rPr>
          <w:rFonts w:hint="eastAsia" w:ascii="方正仿宋_GBK" w:hAnsi="方正仿宋_GBK" w:eastAsia="方正仿宋_GBK" w:cs="方正仿宋_GBK"/>
          <w:bCs/>
          <w:snapToGrid w:val="0"/>
          <w:color w:val="auto"/>
          <w:kern w:val="2"/>
          <w:sz w:val="32"/>
          <w:szCs w:val="32"/>
          <w:lang w:eastAsia="zh-CN"/>
        </w:rPr>
        <w:t>超过</w:t>
      </w:r>
      <w:r>
        <w:rPr>
          <w:rFonts w:hint="eastAsia" w:ascii="方正仿宋_GBK" w:hAnsi="方正仿宋_GBK" w:eastAsia="方正仿宋_GBK" w:cs="方正仿宋_GBK"/>
          <w:bCs/>
          <w:snapToGrid w:val="0"/>
          <w:color w:val="auto"/>
          <w:kern w:val="2"/>
          <w:sz w:val="32"/>
          <w:szCs w:val="32"/>
        </w:rPr>
        <w:t>1000亿元，</w:t>
      </w:r>
      <w:r>
        <w:rPr>
          <w:rFonts w:hint="eastAsia" w:ascii="方正仿宋_GBK" w:hAnsi="方正仿宋_GBK" w:eastAsia="方正仿宋_GBK" w:cs="方正仿宋_GBK"/>
          <w:bCs/>
          <w:snapToGrid w:val="0"/>
          <w:color w:val="auto"/>
          <w:kern w:val="2"/>
          <w:sz w:val="32"/>
          <w:szCs w:val="32"/>
          <w:lang w:eastAsia="zh-CN"/>
        </w:rPr>
        <w:t>位列全国第三位</w:t>
      </w:r>
      <w:r>
        <w:rPr>
          <w:rFonts w:hint="eastAsia" w:ascii="方正仿宋_GBK" w:hAnsi="方正仿宋_GBK" w:eastAsia="方正仿宋_GBK" w:cs="方正仿宋_GBK"/>
          <w:bCs/>
          <w:snapToGrid w:val="0"/>
          <w:color w:val="auto"/>
          <w:kern w:val="2"/>
          <w:sz w:val="32"/>
          <w:szCs w:val="32"/>
        </w:rPr>
        <w:t>。</w:t>
      </w:r>
      <w:r>
        <w:rPr>
          <w:rFonts w:hint="eastAsia" w:ascii="方正仿宋_GBK" w:hAnsi="方正仿宋_GBK" w:eastAsia="方正仿宋_GBK" w:cs="方正仿宋_GBK"/>
          <w:bCs/>
          <w:snapToGrid w:val="0"/>
          <w:color w:val="auto"/>
          <w:kern w:val="2"/>
          <w:sz w:val="32"/>
          <w:szCs w:val="32"/>
          <w:lang w:eastAsia="zh-CN"/>
        </w:rPr>
        <w:t>高技能人才总量从“十二五”期末的</w:t>
      </w:r>
      <w:r>
        <w:rPr>
          <w:rFonts w:hint="eastAsia" w:ascii="方正仿宋_GBK" w:hAnsi="方正仿宋_GBK" w:eastAsia="方正仿宋_GBK" w:cs="方正仿宋_GBK"/>
          <w:bCs/>
          <w:snapToGrid w:val="0"/>
          <w:color w:val="auto"/>
          <w:kern w:val="2"/>
          <w:sz w:val="32"/>
          <w:szCs w:val="32"/>
          <w:lang w:val="en-US" w:eastAsia="zh-CN"/>
        </w:rPr>
        <w:t>75.89万人增长到116万人，中华技能大奖实现零的突破，累计培养16名全国技术能手、20名国家级技能大师、参加第45届世界技能大赛实现云南选手夺金“零的突破”。</w:t>
      </w:r>
      <w:r>
        <w:rPr>
          <w:rFonts w:hint="eastAsia" w:ascii="方正仿宋_GBK" w:hAnsi="方正仿宋_GBK" w:eastAsia="方正仿宋_GBK" w:cs="方正仿宋_GBK"/>
          <w:bCs/>
          <w:snapToGrid w:val="0"/>
          <w:color w:val="auto"/>
          <w:kern w:val="2"/>
          <w:sz w:val="32"/>
          <w:szCs w:val="32"/>
        </w:rPr>
        <w:t>累计培训贫困劳动力</w:t>
      </w:r>
      <w:r>
        <w:rPr>
          <w:rFonts w:hint="eastAsia" w:ascii="方正仿宋_GBK" w:hAnsi="方正仿宋_GBK" w:eastAsia="方正仿宋_GBK" w:cs="方正仿宋_GBK"/>
          <w:bCs/>
          <w:snapToGrid w:val="0"/>
          <w:color w:val="auto"/>
          <w:kern w:val="2"/>
          <w:sz w:val="32"/>
          <w:szCs w:val="32"/>
          <w:lang w:val="en-US" w:eastAsia="zh-CN"/>
        </w:rPr>
        <w:t>566.23</w:t>
      </w:r>
      <w:r>
        <w:rPr>
          <w:rFonts w:hint="eastAsia" w:ascii="方正仿宋_GBK" w:hAnsi="方正仿宋_GBK" w:eastAsia="方正仿宋_GBK" w:cs="方正仿宋_GBK"/>
          <w:bCs/>
          <w:snapToGrid w:val="0"/>
          <w:color w:val="auto"/>
          <w:kern w:val="2"/>
          <w:sz w:val="32"/>
          <w:szCs w:val="32"/>
        </w:rPr>
        <w:t>万人次</w:t>
      </w:r>
      <w:r>
        <w:rPr>
          <w:rFonts w:hint="eastAsia" w:ascii="方正仿宋_GBK" w:hAnsi="方正仿宋_GBK" w:eastAsia="方正仿宋_GBK" w:cs="方正仿宋_GBK"/>
          <w:bCs/>
          <w:snapToGrid w:val="0"/>
          <w:color w:val="auto"/>
          <w:kern w:val="2"/>
          <w:sz w:val="32"/>
          <w:szCs w:val="32"/>
          <w:lang w:eastAsia="zh-CN"/>
        </w:rPr>
        <w:t>，</w:t>
      </w:r>
      <w:r>
        <w:rPr>
          <w:rFonts w:hint="eastAsia" w:ascii="方正仿宋_GBK" w:hAnsi="方正仿宋_GBK" w:eastAsia="方正仿宋_GBK" w:cs="方正仿宋_GBK"/>
          <w:bCs/>
          <w:snapToGrid w:val="0"/>
          <w:color w:val="auto"/>
          <w:kern w:val="2"/>
          <w:sz w:val="32"/>
          <w:szCs w:val="32"/>
        </w:rPr>
        <w:t>在易地扶贫搬迁集中安置点设立</w:t>
      </w:r>
      <w:r>
        <w:rPr>
          <w:rFonts w:hint="eastAsia" w:ascii="方正仿宋_GBK" w:hAnsi="方正仿宋_GBK" w:eastAsia="方正仿宋_GBK" w:cs="方正仿宋_GBK"/>
          <w:bCs/>
          <w:snapToGrid w:val="0"/>
          <w:color w:val="auto"/>
          <w:kern w:val="2"/>
          <w:sz w:val="32"/>
          <w:szCs w:val="32"/>
          <w:lang w:val="en-US" w:eastAsia="zh-CN"/>
        </w:rPr>
        <w:t>761</w:t>
      </w:r>
      <w:r>
        <w:rPr>
          <w:rFonts w:hint="eastAsia" w:ascii="方正仿宋_GBK" w:hAnsi="方正仿宋_GBK" w:eastAsia="方正仿宋_GBK" w:cs="方正仿宋_GBK"/>
          <w:bCs/>
          <w:snapToGrid w:val="0"/>
          <w:color w:val="auto"/>
          <w:kern w:val="2"/>
          <w:sz w:val="32"/>
          <w:szCs w:val="32"/>
        </w:rPr>
        <w:t>个服务站（点）、</w:t>
      </w:r>
      <w:r>
        <w:rPr>
          <w:rFonts w:hint="eastAsia" w:ascii="方正仿宋_GBK" w:hAnsi="方正仿宋_GBK" w:eastAsia="方正仿宋_GBK" w:cs="方正仿宋_GBK"/>
          <w:bCs/>
          <w:snapToGrid w:val="0"/>
          <w:color w:val="auto"/>
          <w:kern w:val="2"/>
          <w:sz w:val="32"/>
          <w:szCs w:val="32"/>
          <w:lang w:val="en-US" w:eastAsia="zh-CN"/>
        </w:rPr>
        <w:t>571</w:t>
      </w:r>
      <w:r>
        <w:rPr>
          <w:rFonts w:hint="eastAsia" w:ascii="方正仿宋_GBK" w:hAnsi="方正仿宋_GBK" w:eastAsia="方正仿宋_GBK" w:cs="方正仿宋_GBK"/>
          <w:bCs/>
          <w:snapToGrid w:val="0"/>
          <w:color w:val="auto"/>
          <w:kern w:val="2"/>
          <w:sz w:val="32"/>
          <w:szCs w:val="32"/>
        </w:rPr>
        <w:t>个服务窗口，认定</w:t>
      </w:r>
      <w:r>
        <w:rPr>
          <w:rFonts w:hint="eastAsia" w:ascii="方正仿宋_GBK" w:hAnsi="方正仿宋_GBK" w:eastAsia="方正仿宋_GBK" w:cs="方正仿宋_GBK"/>
          <w:bCs/>
          <w:snapToGrid w:val="0"/>
          <w:color w:val="auto"/>
          <w:kern w:val="2"/>
          <w:sz w:val="32"/>
          <w:szCs w:val="32"/>
          <w:lang w:val="en-US" w:eastAsia="zh-CN"/>
        </w:rPr>
        <w:t>2508</w:t>
      </w:r>
      <w:r>
        <w:rPr>
          <w:rFonts w:hint="eastAsia" w:ascii="方正仿宋_GBK" w:hAnsi="方正仿宋_GBK" w:eastAsia="方正仿宋_GBK" w:cs="方正仿宋_GBK"/>
          <w:bCs/>
          <w:snapToGrid w:val="0"/>
          <w:color w:val="auto"/>
          <w:kern w:val="2"/>
          <w:sz w:val="32"/>
          <w:szCs w:val="32"/>
        </w:rPr>
        <w:t>个就业扶贫车间，开发39.72万个乡村公益性岗位</w:t>
      </w:r>
      <w:r>
        <w:rPr>
          <w:rFonts w:hint="eastAsia" w:ascii="方正仿宋_GBK" w:hAnsi="方正仿宋_GBK" w:eastAsia="方正仿宋_GBK" w:cs="方正仿宋_GBK"/>
          <w:bCs/>
          <w:snapToGrid w:val="0"/>
          <w:color w:val="auto"/>
          <w:kern w:val="2"/>
          <w:sz w:val="32"/>
          <w:szCs w:val="32"/>
          <w:lang w:eastAsia="zh-CN"/>
        </w:rPr>
        <w:t>。充分发挥了</w:t>
      </w:r>
      <w:r>
        <w:rPr>
          <w:rFonts w:hint="eastAsia" w:ascii="方正仿宋_GBK" w:hAnsi="方正仿宋_GBK" w:eastAsia="方正仿宋_GBK" w:cs="方正仿宋_GBK"/>
          <w:bCs/>
          <w:snapToGrid w:val="0"/>
          <w:color w:val="auto"/>
          <w:kern w:val="2"/>
          <w:sz w:val="32"/>
          <w:szCs w:val="32"/>
        </w:rPr>
        <w:t>“就业促增收、技能提素质”的</w:t>
      </w:r>
      <w:r>
        <w:rPr>
          <w:rFonts w:hint="eastAsia" w:ascii="方正仿宋_GBK" w:hAnsi="方正仿宋_GBK" w:eastAsia="方正仿宋_GBK" w:cs="方正仿宋_GBK"/>
          <w:bCs/>
          <w:snapToGrid w:val="0"/>
          <w:color w:val="auto"/>
          <w:kern w:val="2"/>
          <w:sz w:val="32"/>
          <w:szCs w:val="32"/>
          <w:lang w:eastAsia="zh-CN"/>
        </w:rPr>
        <w:t>作用</w:t>
      </w:r>
      <w:r>
        <w:rPr>
          <w:rFonts w:hint="eastAsia" w:ascii="方正仿宋_GBK" w:hAnsi="方正仿宋_GBK" w:eastAsia="方正仿宋_GBK" w:cs="方正仿宋_GBK"/>
          <w:bCs/>
          <w:snapToGrid w:val="0"/>
          <w:color w:val="auto"/>
          <w:kern w:val="2"/>
          <w:sz w:val="32"/>
          <w:szCs w:val="32"/>
        </w:rPr>
        <w:t>。</w:t>
      </w:r>
    </w:p>
    <w:p>
      <w:pPr>
        <w:pStyle w:val="3"/>
        <w:rPr>
          <w:rFonts w:hint="eastAsia"/>
          <w:lang w:eastAsia="zh-CN"/>
        </w:rPr>
      </w:pPr>
    </w:p>
    <w:tbl>
      <w:tblPr>
        <w:tblStyle w:val="12"/>
        <w:tblW w:w="8518"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3361"/>
        <w:gridCol w:w="1785"/>
        <w:gridCol w:w="1680"/>
        <w:gridCol w:w="1692"/>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97" w:hRule="atLeast"/>
          <w:jc w:val="center"/>
        </w:trPr>
        <w:tc>
          <w:tcPr>
            <w:tcW w:w="8518" w:type="dxa"/>
            <w:gridSpan w:val="4"/>
            <w:tcBorders>
              <w:top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color w:val="auto"/>
                <w:kern w:val="0"/>
                <w:sz w:val="28"/>
                <w:szCs w:val="28"/>
              </w:rPr>
            </w:pPr>
            <w:r>
              <w:rPr>
                <w:rFonts w:hint="eastAsia" w:ascii="仿宋" w:hAnsi="仿宋" w:eastAsia="仿宋" w:cs="仿宋"/>
                <w:b/>
                <w:color w:val="auto"/>
                <w:kern w:val="0"/>
                <w:sz w:val="28"/>
                <w:szCs w:val="28"/>
              </w:rPr>
              <w:t>专栏1</w:t>
            </w:r>
            <w:r>
              <w:rPr>
                <w:rFonts w:hint="eastAsia" w:ascii="仿宋" w:hAnsi="仿宋" w:eastAsia="仿宋" w:cs="仿宋"/>
                <w:b/>
                <w:color w:val="auto"/>
                <w:kern w:val="0"/>
                <w:sz w:val="28"/>
                <w:szCs w:val="28"/>
                <w:lang w:eastAsia="zh-CN"/>
              </w:rPr>
              <w:t>：</w:t>
            </w:r>
            <w:r>
              <w:rPr>
                <w:rFonts w:hint="eastAsia" w:ascii="仿宋" w:hAnsi="仿宋" w:eastAsia="仿宋" w:cs="仿宋"/>
                <w:b/>
                <w:color w:val="auto"/>
                <w:kern w:val="0"/>
                <w:sz w:val="28"/>
                <w:szCs w:val="28"/>
              </w:rPr>
              <w:t>“十三五”时期工作指标完成情况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35" w:hRule="atLeast"/>
          <w:jc w:val="center"/>
        </w:trPr>
        <w:tc>
          <w:tcPr>
            <w:tcW w:w="3361"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b/>
                <w:color w:val="auto"/>
                <w:kern w:val="0"/>
                <w:szCs w:val="21"/>
              </w:rPr>
            </w:pPr>
            <w:r>
              <w:rPr>
                <w:rFonts w:hint="eastAsia" w:ascii="仿宋" w:hAnsi="仿宋" w:eastAsia="仿宋" w:cs="仿宋"/>
                <w:b/>
                <w:color w:val="auto"/>
                <w:kern w:val="0"/>
                <w:szCs w:val="21"/>
              </w:rPr>
              <w:t>指标/项目</w:t>
            </w:r>
          </w:p>
        </w:tc>
        <w:tc>
          <w:tcPr>
            <w:tcW w:w="17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b/>
                <w:color w:val="auto"/>
                <w:kern w:val="0"/>
                <w:szCs w:val="21"/>
              </w:rPr>
            </w:pPr>
            <w:r>
              <w:rPr>
                <w:rFonts w:hint="eastAsia" w:ascii="仿宋" w:hAnsi="仿宋" w:eastAsia="仿宋" w:cs="仿宋"/>
                <w:b/>
                <w:color w:val="auto"/>
                <w:kern w:val="0"/>
                <w:szCs w:val="21"/>
              </w:rPr>
              <w:t>2015年</w:t>
            </w:r>
          </w:p>
        </w:tc>
        <w:tc>
          <w:tcPr>
            <w:tcW w:w="168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b/>
                <w:color w:val="auto"/>
                <w:kern w:val="0"/>
                <w:szCs w:val="21"/>
              </w:rPr>
            </w:pPr>
            <w:r>
              <w:rPr>
                <w:rFonts w:hint="eastAsia" w:ascii="仿宋" w:hAnsi="仿宋" w:eastAsia="仿宋" w:cs="仿宋"/>
                <w:b/>
                <w:color w:val="auto"/>
                <w:kern w:val="0"/>
                <w:szCs w:val="21"/>
              </w:rPr>
              <w:t>“十三五”规划</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b/>
                <w:color w:val="auto"/>
                <w:kern w:val="0"/>
                <w:szCs w:val="21"/>
              </w:rPr>
            </w:pPr>
            <w:r>
              <w:rPr>
                <w:rFonts w:hint="eastAsia" w:ascii="仿宋" w:hAnsi="仿宋" w:eastAsia="仿宋" w:cs="仿宋"/>
                <w:b/>
                <w:color w:val="auto"/>
                <w:kern w:val="0"/>
                <w:szCs w:val="21"/>
              </w:rPr>
              <w:t>目标</w:t>
            </w:r>
          </w:p>
        </w:tc>
        <w:tc>
          <w:tcPr>
            <w:tcW w:w="169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b/>
                <w:color w:val="auto"/>
                <w:kern w:val="0"/>
                <w:szCs w:val="21"/>
              </w:rPr>
            </w:pPr>
            <w:r>
              <w:rPr>
                <w:rFonts w:hint="eastAsia" w:ascii="仿宋" w:hAnsi="仿宋" w:eastAsia="仿宋" w:cs="仿宋"/>
                <w:b/>
                <w:color w:val="auto"/>
                <w:kern w:val="0"/>
                <w:szCs w:val="21"/>
              </w:rPr>
              <w:t>2020年实现</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b/>
                <w:color w:val="auto"/>
                <w:kern w:val="0"/>
                <w:szCs w:val="21"/>
              </w:rPr>
            </w:pPr>
            <w:r>
              <w:rPr>
                <w:rFonts w:hint="eastAsia" w:ascii="仿宋" w:hAnsi="仿宋" w:eastAsia="仿宋" w:cs="仿宋"/>
                <w:b/>
                <w:color w:val="auto"/>
                <w:kern w:val="0"/>
                <w:szCs w:val="21"/>
              </w:rPr>
              <w:t>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20" w:hRule="atLeast"/>
          <w:jc w:val="center"/>
        </w:trPr>
        <w:tc>
          <w:tcPr>
            <w:tcW w:w="3361"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五年城镇新增就业（万人）</w:t>
            </w:r>
          </w:p>
        </w:tc>
        <w:tc>
          <w:tcPr>
            <w:tcW w:w="17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〔165.</w:t>
            </w:r>
            <w:r>
              <w:rPr>
                <w:rFonts w:hint="eastAsia" w:ascii="仿宋" w:hAnsi="仿宋" w:eastAsia="仿宋" w:cs="仿宋"/>
                <w:color w:val="auto"/>
                <w:kern w:val="0"/>
                <w:sz w:val="24"/>
                <w:szCs w:val="24"/>
                <w:lang w:val="en-US" w:eastAsia="zh-CN"/>
              </w:rPr>
              <w:t>91</w:t>
            </w:r>
            <w:r>
              <w:rPr>
                <w:rFonts w:hint="eastAsia" w:ascii="仿宋" w:hAnsi="仿宋" w:eastAsia="仿宋" w:cs="仿宋"/>
                <w:color w:val="auto"/>
                <w:kern w:val="0"/>
                <w:sz w:val="24"/>
                <w:szCs w:val="24"/>
              </w:rPr>
              <w:t>〕</w:t>
            </w:r>
          </w:p>
        </w:tc>
        <w:tc>
          <w:tcPr>
            <w:tcW w:w="168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〔220〕</w:t>
            </w:r>
          </w:p>
        </w:tc>
        <w:tc>
          <w:tcPr>
            <w:tcW w:w="169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〔248.51〕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28" w:hRule="atLeast"/>
          <w:jc w:val="center"/>
        </w:trPr>
        <w:tc>
          <w:tcPr>
            <w:tcW w:w="3361"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城镇登记失业率（%）</w:t>
            </w:r>
          </w:p>
        </w:tc>
        <w:tc>
          <w:tcPr>
            <w:tcW w:w="17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3.96</w:t>
            </w:r>
          </w:p>
        </w:tc>
        <w:tc>
          <w:tcPr>
            <w:tcW w:w="168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&lt;4.5</w:t>
            </w:r>
          </w:p>
        </w:tc>
        <w:tc>
          <w:tcPr>
            <w:tcW w:w="169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3.92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173" w:hRule="atLeast"/>
          <w:jc w:val="center"/>
        </w:trPr>
        <w:tc>
          <w:tcPr>
            <w:tcW w:w="3361"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高技能人才总量（万人）</w:t>
            </w:r>
          </w:p>
        </w:tc>
        <w:tc>
          <w:tcPr>
            <w:tcW w:w="17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〔75.89〕</w:t>
            </w:r>
          </w:p>
        </w:tc>
        <w:tc>
          <w:tcPr>
            <w:tcW w:w="168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〔115〕</w:t>
            </w:r>
          </w:p>
        </w:tc>
        <w:tc>
          <w:tcPr>
            <w:tcW w:w="169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116</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216" w:hRule="atLeast"/>
          <w:jc w:val="center"/>
        </w:trPr>
        <w:tc>
          <w:tcPr>
            <w:tcW w:w="3361"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专业技术人才总量（万人）</w:t>
            </w:r>
          </w:p>
        </w:tc>
        <w:tc>
          <w:tcPr>
            <w:tcW w:w="17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 w:hAnsi="仿宋" w:eastAsia="仿宋" w:cs="仿宋"/>
                <w:color w:val="auto"/>
                <w:kern w:val="0"/>
                <w:sz w:val="24"/>
                <w:szCs w:val="24"/>
                <w:lang w:val="en-US" w:eastAsia="zh-CN"/>
              </w:rPr>
            </w:pPr>
          </w:p>
        </w:tc>
        <w:tc>
          <w:tcPr>
            <w:tcW w:w="168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158</w:t>
            </w:r>
          </w:p>
        </w:tc>
        <w:tc>
          <w:tcPr>
            <w:tcW w:w="169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165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216" w:hRule="atLeast"/>
          <w:jc w:val="center"/>
        </w:trPr>
        <w:tc>
          <w:tcPr>
            <w:tcW w:w="3361"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企业劳动合同签订率（%）</w:t>
            </w:r>
          </w:p>
        </w:tc>
        <w:tc>
          <w:tcPr>
            <w:tcW w:w="17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95</w:t>
            </w:r>
          </w:p>
        </w:tc>
        <w:tc>
          <w:tcPr>
            <w:tcW w:w="168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≥98</w:t>
            </w:r>
          </w:p>
        </w:tc>
        <w:tc>
          <w:tcPr>
            <w:tcW w:w="169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97.2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216" w:hRule="atLeast"/>
          <w:jc w:val="center"/>
        </w:trPr>
        <w:tc>
          <w:tcPr>
            <w:tcW w:w="3361"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劳动人事争议仲裁结案率（%）</w:t>
            </w:r>
          </w:p>
        </w:tc>
        <w:tc>
          <w:tcPr>
            <w:tcW w:w="17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95</w:t>
            </w:r>
          </w:p>
        </w:tc>
        <w:tc>
          <w:tcPr>
            <w:tcW w:w="168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100〔审限内〕</w:t>
            </w:r>
          </w:p>
        </w:tc>
        <w:tc>
          <w:tcPr>
            <w:tcW w:w="169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100〔审限内〕</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53" w:hRule="atLeast"/>
          <w:jc w:val="center"/>
        </w:trPr>
        <w:tc>
          <w:tcPr>
            <w:tcW w:w="8518" w:type="dxa"/>
            <w:gridSpan w:val="4"/>
            <w:tcBorders>
              <w:bottom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注:〔〕表示五年累计数。</w:t>
            </w:r>
          </w:p>
        </w:tc>
      </w:tr>
    </w:tbl>
    <w:p>
      <w:pPr>
        <w:pStyle w:val="4"/>
        <w:keepLines w:val="0"/>
        <w:pageBreakBefore w:val="0"/>
        <w:kinsoku/>
        <w:wordWrap/>
        <w:overflowPunct w:val="0"/>
        <w:topLinePunct w:val="0"/>
        <w:autoSpaceDE/>
        <w:autoSpaceDN/>
        <w:bidi w:val="0"/>
        <w:adjustRightInd w:val="0"/>
        <w:snapToGrid w:val="0"/>
        <w:spacing w:before="0" w:after="0" w:line="600" w:lineRule="exact"/>
        <w:ind w:firstLine="640" w:firstLineChars="200"/>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（二）机遇挑战</w:t>
      </w:r>
    </w:p>
    <w:p>
      <w:pPr>
        <w:pStyle w:val="10"/>
        <w:pageBreakBefore w:val="0"/>
        <w:kinsoku/>
        <w:wordWrap/>
        <w:topLinePunct w:val="0"/>
        <w:autoSpaceDE/>
        <w:autoSpaceDN/>
        <w:bidi w:val="0"/>
        <w:spacing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省委十一届八次全会明确提出，坚决贯彻党中央、国务院决策部署，集中精力抓好发展第一要务，统筹做好稳增长、促改革、调结构、惠民生、防风险、保稳定各项工作，强化政策统筹和部门联动，狠抓政策落实，聚焦重点领域关键问题精准施策。</w:t>
      </w:r>
      <w:r>
        <w:rPr>
          <w:rFonts w:hint="eastAsia" w:ascii="方正仿宋_GBK" w:hAnsi="方正仿宋_GBK" w:eastAsia="方正仿宋_GBK" w:cs="方正仿宋_GBK"/>
          <w:bCs/>
          <w:snapToGrid w:val="0"/>
          <w:color w:val="auto"/>
          <w:kern w:val="2"/>
          <w:sz w:val="32"/>
          <w:szCs w:val="32"/>
          <w:lang w:val="en-US" w:eastAsia="zh-CN"/>
        </w:rPr>
        <w:t>“十四五”时期我省将进入新发展阶段，是实现新的更大发展的关键时期，全省经济运行基础稳固、加快恢复，但复苏还不稳定、不平衡，疫情冲击导致的各类衍生风险不容忽视。全省就业工作有习近</w:t>
      </w:r>
      <w:r>
        <w:rPr>
          <w:rFonts w:hint="eastAsia" w:ascii="方正仿宋_GBK" w:hAnsi="方正仿宋_GBK" w:eastAsia="方正仿宋_GBK" w:cs="方正仿宋_GBK"/>
          <w:b w:val="0"/>
          <w:bCs/>
          <w:snapToGrid w:val="0"/>
          <w:color w:val="auto"/>
          <w:kern w:val="2"/>
          <w:sz w:val="32"/>
          <w:szCs w:val="32"/>
          <w:lang w:val="en-US" w:eastAsia="zh-CN"/>
        </w:rPr>
        <w:t>平总书记两次考察云南重要讲话精神、关于民生工作系列指示批示精神的正确指引，有加快构建新发展格局、扩大内需、增进民生福祉带来的政策支撑，有省委、省政府在保障和改善民生方面的倾斜投入，</w:t>
      </w:r>
      <w:r>
        <w:rPr>
          <w:rFonts w:hint="eastAsia" w:ascii="仿宋" w:hAnsi="仿宋" w:eastAsia="仿宋" w:cs="仿宋"/>
          <w:color w:val="auto"/>
          <w:sz w:val="32"/>
          <w:szCs w:val="32"/>
        </w:rPr>
        <w:t>为实现更加充分更高质量就业提供了根本保证；新型城镇化、乡村振兴带来巨大发展机遇，新的就业增长点持续涌现，前景十分广阔；劳动力市场协同性增强，</w:t>
      </w:r>
      <w:r>
        <w:rPr>
          <w:rFonts w:hint="eastAsia" w:ascii="仿宋" w:hAnsi="仿宋" w:eastAsia="仿宋" w:cs="仿宋"/>
          <w:color w:val="auto"/>
          <w:sz w:val="32"/>
          <w:szCs w:val="32"/>
          <w:lang w:eastAsia="zh-CN"/>
        </w:rPr>
        <w:t>城镇常驻劳动力持续增加，劳动力</w:t>
      </w:r>
      <w:r>
        <w:rPr>
          <w:rFonts w:hint="eastAsia" w:ascii="仿宋" w:hAnsi="仿宋" w:eastAsia="仿宋" w:cs="仿宋"/>
          <w:color w:val="auto"/>
          <w:sz w:val="32"/>
          <w:szCs w:val="32"/>
        </w:rPr>
        <w:t>整体受教育程度上升，社会性流动更加顺畅，为促进就业夯实了人力资源支撑。</w:t>
      </w:r>
    </w:p>
    <w:p>
      <w:pPr>
        <w:pStyle w:val="10"/>
        <w:pageBreakBefore w:val="0"/>
        <w:kinsoku/>
        <w:wordWrap/>
        <w:topLinePunct w:val="0"/>
        <w:autoSpaceDE/>
        <w:autoSpaceDN/>
        <w:bidi w:val="0"/>
        <w:spacing w:line="600" w:lineRule="exact"/>
        <w:ind w:firstLine="640" w:firstLineChars="200"/>
        <w:jc w:val="both"/>
        <w:textAlignment w:val="auto"/>
        <w:rPr>
          <w:rFonts w:hint="eastAsia" w:ascii="仿宋" w:hAnsi="仿宋" w:eastAsia="仿宋" w:cs="仿宋"/>
          <w:b w:val="0"/>
          <w:bCs/>
          <w:color w:val="auto"/>
          <w:sz w:val="32"/>
          <w:szCs w:val="32"/>
        </w:rPr>
      </w:pPr>
      <w:r>
        <w:rPr>
          <w:rFonts w:hint="eastAsia" w:ascii="仿宋" w:hAnsi="仿宋" w:eastAsia="仿宋" w:cs="仿宋"/>
          <w:color w:val="auto"/>
          <w:sz w:val="32"/>
          <w:szCs w:val="32"/>
        </w:rPr>
        <w:t>同时看到，经济进入高质量发展新阶段，就业工作面临的挑战也发生了深刻变化。劳动力市场发生深刻变化。第七次人口普查反映，我省人口结构发生显著变化，人口老龄化进程逐步加快，渐进式延迟退休提上日程，对大龄劳动者就业和老年人力资源开发提出新的课题。</w:t>
      </w:r>
      <w:r>
        <w:rPr>
          <w:rFonts w:hint="eastAsia" w:ascii="仿宋" w:hAnsi="仿宋" w:eastAsia="仿宋" w:cs="仿宋"/>
          <w:strike w:val="0"/>
          <w:dstrike w:val="0"/>
          <w:color w:val="auto"/>
          <w:sz w:val="32"/>
          <w:szCs w:val="32"/>
        </w:rPr>
        <w:t>同时，</w:t>
      </w:r>
      <w:r>
        <w:rPr>
          <w:rFonts w:hint="eastAsia" w:ascii="仿宋" w:hAnsi="仿宋" w:eastAsia="仿宋" w:cs="仿宋"/>
          <w:color w:val="auto"/>
          <w:sz w:val="32"/>
          <w:szCs w:val="32"/>
        </w:rPr>
        <w:t>我省应届高校毕业生规模保持高位运行，脱贫劳动力、失业人员、退役军人、退捕渔民、易地搬迁群众等群体需保障就业，对城镇就业岗位供给特别是高质量就业岗位供给带来巨大压力。我省灵活就业劳动者日益增多，就业歧视仍然存在，平台经济就业大量增长，灵活就业和新就业形态人员权益保障亟待加强。结构性就业矛盾更加凸显。产业转型升级、技术进步对劳动者技能素质提出了更高要求，人才培养培训不适应市场需求的现象进一步加剧，“就业难”与“招工难”并存，结构性就业矛盾将逐步上升为就业领域主要矛盾，成为制约更加充分更高质量就业的主要障碍。促进青年人员、农民工、大龄劳动者等重点群体就业任务艰巨，规模性失业风险不容忽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总之，就业形势仍较严峻。必须深刻认识就业领域主要矛盾的变化，深入分析面临的挑战和风险，坚持问题导向，采取务实举措，抓住机遇，调动各种积极因素，不断开创就业工作新局面，努力实现更加充分更高质量就业。</w:t>
      </w:r>
      <w:bookmarkStart w:id="17" w:name="_Toc11813"/>
      <w:bookmarkStart w:id="18" w:name="_Toc22889"/>
      <w:bookmarkStart w:id="19" w:name="_Toc3652"/>
      <w:bookmarkStart w:id="20" w:name="_Toc12480"/>
      <w:bookmarkStart w:id="21" w:name="_Toc25892"/>
      <w:bookmarkStart w:id="22" w:name="_Toc1084855897"/>
      <w:bookmarkStart w:id="23" w:name="_Toc1539472171"/>
      <w:bookmarkStart w:id="24" w:name="_Toc1779491608"/>
      <w:bookmarkStart w:id="25" w:name="_Toc1840827632"/>
      <w:bookmarkStart w:id="26" w:name="_Toc1715214353"/>
      <w:bookmarkStart w:id="27" w:name="_Toc358424439"/>
      <w:bookmarkStart w:id="28" w:name="_Toc635381948"/>
      <w:bookmarkStart w:id="29" w:name="_Toc1854084515"/>
      <w:bookmarkStart w:id="30" w:name="_Toc1131524495"/>
      <w:bookmarkStart w:id="31" w:name="_Toc346570978"/>
      <w:bookmarkStart w:id="32" w:name="_Toc1245684497"/>
      <w:bookmarkStart w:id="33" w:name="_Toc19877319"/>
      <w:bookmarkStart w:id="34" w:name="_Toc888614096"/>
      <w:bookmarkStart w:id="35" w:name="_Toc726838737"/>
      <w:bookmarkStart w:id="36" w:name="_Toc2124430705"/>
      <w:bookmarkStart w:id="37" w:name="_Toc888427631"/>
      <w:bookmarkStart w:id="38" w:name="_Toc1942721418"/>
    </w:p>
    <w:p>
      <w:pPr>
        <w:pStyle w:val="4"/>
        <w:keepLines w:val="0"/>
        <w:pageBreakBefore w:val="0"/>
        <w:kinsoku/>
        <w:wordWrap/>
        <w:overflowPunct w:val="0"/>
        <w:topLinePunct w:val="0"/>
        <w:autoSpaceDE/>
        <w:autoSpaceDN/>
        <w:bidi w:val="0"/>
        <w:adjustRightInd w:val="0"/>
        <w:snapToGrid w:val="0"/>
        <w:spacing w:before="0" w:after="0"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二、总体要求</w:t>
      </w:r>
      <w:bookmarkEnd w:id="17"/>
      <w:bookmarkEnd w:id="18"/>
      <w:bookmarkEnd w:id="19"/>
      <w:bookmarkEnd w:id="20"/>
      <w:bookmarkEnd w:id="21"/>
      <w:bookmarkStart w:id="39" w:name="_Toc922"/>
      <w:bookmarkStart w:id="40" w:name="_Toc24026"/>
      <w:bookmarkStart w:id="41" w:name="_Toc22020"/>
    </w:p>
    <w:p>
      <w:pPr>
        <w:pStyle w:val="4"/>
        <w:keepLines w:val="0"/>
        <w:pageBreakBefore w:val="0"/>
        <w:kinsoku/>
        <w:wordWrap/>
        <w:overflowPunct w:val="0"/>
        <w:topLinePunct w:val="0"/>
        <w:autoSpaceDE/>
        <w:autoSpaceDN/>
        <w:bidi w:val="0"/>
        <w:adjustRightInd w:val="0"/>
        <w:snapToGrid w:val="0"/>
        <w:spacing w:before="0" w:after="0" w:line="600" w:lineRule="exact"/>
        <w:ind w:firstLine="640" w:firstLineChars="200"/>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（三）指导思想</w:t>
      </w:r>
      <w:bookmarkEnd w:id="39"/>
      <w:bookmarkEnd w:id="40"/>
      <w:bookmarkEnd w:id="41"/>
    </w:p>
    <w:p>
      <w:pPr>
        <w:pageBreakBefore w:val="0"/>
        <w:kinsoku/>
        <w:wordWrap/>
        <w:overflowPunct w:val="0"/>
        <w:topLinePunct w:val="0"/>
        <w:autoSpaceDE/>
        <w:autoSpaceDN/>
        <w:bidi w:val="0"/>
        <w:adjustRightInd w:val="0"/>
        <w:snapToGrid w:val="0"/>
        <w:spacing w:line="600" w:lineRule="exact"/>
        <w:ind w:firstLine="640" w:firstLineChars="200"/>
        <w:textAlignment w:val="auto"/>
        <w:rPr>
          <w:rFonts w:hint="eastAsia" w:ascii="仿宋" w:hAnsi="仿宋" w:eastAsia="仿宋" w:cs="仿宋"/>
          <w:color w:val="auto"/>
          <w:sz w:val="32"/>
          <w:szCs w:val="32"/>
          <w:lang w:val="zh-TW"/>
        </w:rPr>
      </w:pPr>
      <w:r>
        <w:rPr>
          <w:rFonts w:hint="eastAsia" w:ascii="仿宋" w:hAnsi="仿宋" w:eastAsia="仿宋" w:cs="仿宋"/>
          <w:color w:val="auto"/>
          <w:sz w:val="32"/>
          <w:szCs w:val="32"/>
        </w:rPr>
        <w:t>以习近平新时代中国特色社会主义思想为指导，深入贯彻党的十九大和十九届二中、三中、四中、五中</w:t>
      </w:r>
      <w:r>
        <w:rPr>
          <w:rFonts w:hint="eastAsia" w:ascii="仿宋" w:hAnsi="仿宋" w:eastAsia="仿宋" w:cs="仿宋"/>
          <w:color w:val="auto"/>
          <w:sz w:val="32"/>
          <w:szCs w:val="32"/>
          <w:lang w:eastAsia="zh-CN"/>
        </w:rPr>
        <w:t>、六中</w:t>
      </w:r>
      <w:r>
        <w:rPr>
          <w:rFonts w:hint="eastAsia" w:ascii="仿宋" w:hAnsi="仿宋" w:eastAsia="仿宋" w:cs="仿宋"/>
          <w:color w:val="auto"/>
          <w:sz w:val="32"/>
          <w:szCs w:val="32"/>
        </w:rPr>
        <w:t>全会精神，统筹推进“五位一体”总体布局，协调推进“四个全面”战略布局，坚持稳中求进工作总基调，立足新发展阶段，贯彻新发展理念，构建新发展格局，统筹发展和安全，以实现更加充分更高质量就业为主要目标</w:t>
      </w:r>
      <w:r>
        <w:rPr>
          <w:rFonts w:hint="eastAsia" w:ascii="仿宋" w:hAnsi="仿宋" w:eastAsia="仿宋" w:cs="仿宋"/>
          <w:color w:val="auto"/>
          <w:sz w:val="32"/>
          <w:szCs w:val="32"/>
          <w:lang w:eastAsia="zh-CN"/>
        </w:rPr>
        <w:t>。按照省委、省政府的部署要求，</w:t>
      </w:r>
      <w:r>
        <w:rPr>
          <w:rFonts w:hint="eastAsia" w:ascii="仿宋" w:hAnsi="仿宋" w:eastAsia="仿宋" w:cs="仿宋"/>
          <w:color w:val="auto"/>
          <w:sz w:val="32"/>
          <w:szCs w:val="32"/>
        </w:rPr>
        <w:t>强化就业优先政策，千方百计稳定和扩大就业，坚持经济发展就业导向，扩大就业容量，提升就业质量，促进充分就业，保障劳动者待遇和权益，贯彻劳动者自主就业、市场调节就业、政府促进就业和鼓励创业的方针，推动就业稳定增长，</w:t>
      </w:r>
      <w:r>
        <w:rPr>
          <w:rFonts w:hint="eastAsia" w:ascii="仿宋" w:hAnsi="仿宋" w:eastAsia="仿宋" w:cs="仿宋"/>
          <w:color w:val="auto"/>
          <w:sz w:val="32"/>
          <w:szCs w:val="32"/>
          <w:lang w:val="zh-TW" w:eastAsia="zh-TW"/>
        </w:rPr>
        <w:t>有效应对</w:t>
      </w:r>
      <w:r>
        <w:rPr>
          <w:rFonts w:hint="eastAsia" w:ascii="仿宋" w:hAnsi="仿宋" w:eastAsia="仿宋" w:cs="仿宋"/>
          <w:color w:val="auto"/>
          <w:sz w:val="32"/>
          <w:szCs w:val="32"/>
          <w:lang w:val="zh-TW"/>
        </w:rPr>
        <w:t>失业风险，更加注重缓解结构性就业矛盾，</w:t>
      </w:r>
      <w:r>
        <w:rPr>
          <w:rFonts w:hint="eastAsia" w:ascii="仿宋" w:hAnsi="仿宋" w:eastAsia="仿宋" w:cs="仿宋"/>
          <w:color w:val="auto"/>
          <w:sz w:val="32"/>
          <w:szCs w:val="32"/>
        </w:rPr>
        <w:t>不断增强人民群众对就业的获得感、幸福感、安全感，</w:t>
      </w:r>
      <w:r>
        <w:rPr>
          <w:rFonts w:hint="eastAsia" w:ascii="仿宋" w:hAnsi="仿宋" w:eastAsia="仿宋" w:cs="仿宋"/>
          <w:color w:val="auto"/>
          <w:sz w:val="32"/>
          <w:szCs w:val="32"/>
          <w:lang w:val="zh-TW"/>
        </w:rPr>
        <w:t>增进民生福祉，推动全体人民共同富裕迈出坚实步伐。</w:t>
      </w:r>
      <w:bookmarkStart w:id="42" w:name="_Toc25711"/>
      <w:bookmarkStart w:id="43" w:name="_Toc27479"/>
      <w:bookmarkStart w:id="44" w:name="_Toc125"/>
    </w:p>
    <w:p>
      <w:pPr>
        <w:pStyle w:val="4"/>
        <w:keepLines w:val="0"/>
        <w:pageBreakBefore w:val="0"/>
        <w:kinsoku/>
        <w:wordWrap/>
        <w:overflowPunct w:val="0"/>
        <w:topLinePunct w:val="0"/>
        <w:autoSpaceDE/>
        <w:autoSpaceDN/>
        <w:bidi w:val="0"/>
        <w:adjustRightInd w:val="0"/>
        <w:snapToGrid w:val="0"/>
        <w:spacing w:before="0" w:after="0" w:line="600" w:lineRule="exact"/>
        <w:ind w:firstLine="640" w:firstLineChars="200"/>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（四）基本原则</w:t>
      </w:r>
      <w:bookmarkEnd w:id="42"/>
      <w:bookmarkEnd w:id="43"/>
      <w:bookmarkEnd w:id="44"/>
    </w:p>
    <w:p>
      <w:pPr>
        <w:pageBreakBefore w:val="0"/>
        <w:kinsoku/>
        <w:wordWrap/>
        <w:overflowPunct w:val="0"/>
        <w:topLinePunct w:val="0"/>
        <w:autoSpaceDE/>
        <w:autoSpaceDN/>
        <w:bidi w:val="0"/>
        <w:adjustRightInd w:val="0"/>
        <w:snapToGrid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坚持就业优先、协调联动。坚持经济发展就业导向，把稳定和扩大就业作为经济社会发展优先目标，就业优先政策继续强化、聚力增效，健全促进就业政策协调机制，财政、金融和产业等政策聚力支持稳定扩大就业，动员政府各部门及工会、共青团、妇联、残联等各方面力量共同促进就业。</w:t>
      </w:r>
    </w:p>
    <w:p>
      <w:pPr>
        <w:pageBreakBefore w:val="0"/>
        <w:kinsoku/>
        <w:wordWrap/>
        <w:overflowPunct w:val="0"/>
        <w:topLinePunct w:val="0"/>
        <w:autoSpaceDE/>
        <w:autoSpaceDN/>
        <w:bidi w:val="0"/>
        <w:adjustRightInd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坚持扩大容量、提高质量。挖掘内需带动就业，加大投资创造就业，稳定外贸扩大就业，培育壮大新动能拓展就业空间，千方百计创造更多就业岗位。在开发更多高质量就业岗位上下功夫，培育高质量就业增长极。</w:t>
      </w:r>
    </w:p>
    <w:p>
      <w:pPr>
        <w:pageBreakBefore w:val="0"/>
        <w:kinsoku/>
        <w:wordWrap/>
        <w:overflowPunct w:val="0"/>
        <w:topLinePunct w:val="0"/>
        <w:autoSpaceDE/>
        <w:autoSpaceDN/>
        <w:bidi w:val="0"/>
        <w:adjustRightInd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坚持市场主导、政府调控。充分发挥市场在促进就业中的决定性作用，健全劳动要素市场化配置机制，加快消除制度性、体制性障碍，调动企业吸纳就业积极性。强化政府提供政策支持职责，提高基本公共就业服务能力。</w:t>
      </w:r>
    </w:p>
    <w:p>
      <w:pPr>
        <w:pageBreakBefore w:val="0"/>
        <w:kinsoku/>
        <w:wordWrap/>
        <w:overflowPunct w:val="0"/>
        <w:topLinePunct w:val="0"/>
        <w:autoSpaceDE/>
        <w:autoSpaceDN/>
        <w:bidi w:val="0"/>
        <w:adjustRightInd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坚持提升能力、守住底线。适应经济高质量发展要求，强化人力资源开发，加强职业培训，全面提升劳动者自身素质和就业创业能力。维护劳动者平等就业权利，扎实做好就业托底工作，帮助重点群体和就业困难群体就业创业。</w:t>
      </w:r>
    </w:p>
    <w:p>
      <w:pPr>
        <w:pStyle w:val="4"/>
        <w:keepLines w:val="0"/>
        <w:pageBreakBefore w:val="0"/>
        <w:kinsoku/>
        <w:wordWrap/>
        <w:overflowPunct w:val="0"/>
        <w:topLinePunct w:val="0"/>
        <w:autoSpaceDE/>
        <w:autoSpaceDN/>
        <w:bidi w:val="0"/>
        <w:adjustRightInd w:val="0"/>
        <w:snapToGrid w:val="0"/>
        <w:spacing w:before="0" w:after="0" w:line="600" w:lineRule="exact"/>
        <w:ind w:firstLine="640" w:firstLineChars="200"/>
        <w:textAlignment w:val="auto"/>
        <w:rPr>
          <w:rFonts w:hint="eastAsia" w:ascii="楷体" w:hAnsi="楷体" w:eastAsia="楷体" w:cs="楷体"/>
          <w:b w:val="0"/>
          <w:bCs/>
          <w:color w:val="auto"/>
          <w:sz w:val="32"/>
          <w:szCs w:val="32"/>
        </w:rPr>
      </w:pPr>
      <w:bookmarkStart w:id="45" w:name="_Toc25779"/>
      <w:bookmarkStart w:id="46" w:name="_Toc23166"/>
      <w:bookmarkStart w:id="47" w:name="_Toc20704"/>
      <w:r>
        <w:rPr>
          <w:rFonts w:hint="eastAsia" w:ascii="楷体" w:hAnsi="楷体" w:eastAsia="楷体" w:cs="楷体"/>
          <w:b w:val="0"/>
          <w:bCs/>
          <w:color w:val="auto"/>
          <w:sz w:val="32"/>
          <w:szCs w:val="32"/>
        </w:rPr>
        <w:t>（五）主要目标</w:t>
      </w:r>
      <w:bookmarkEnd w:id="45"/>
      <w:bookmarkEnd w:id="46"/>
      <w:bookmarkEnd w:id="47"/>
    </w:p>
    <w:p>
      <w:pPr>
        <w:pStyle w:val="5"/>
        <w:pageBreakBefore w:val="0"/>
        <w:kinsoku/>
        <w:wordWrap/>
        <w:topLinePunct w:val="0"/>
        <w:autoSpaceDE/>
        <w:autoSpaceDN/>
        <w:bidi w:val="0"/>
        <w:spacing w:before="0" w:after="0" w:line="600" w:lineRule="exact"/>
        <w:ind w:firstLine="640" w:firstLineChars="200"/>
        <w:textAlignment w:val="auto"/>
        <w:rPr>
          <w:rFonts w:hint="eastAsia" w:ascii="仿宋" w:hAnsi="仿宋" w:eastAsia="仿宋" w:cs="仿宋"/>
          <w:b w:val="0"/>
          <w:color w:val="auto"/>
          <w:szCs w:val="32"/>
        </w:rPr>
      </w:pPr>
      <w:r>
        <w:rPr>
          <w:rFonts w:hint="eastAsia" w:ascii="仿宋" w:hAnsi="仿宋" w:eastAsia="仿宋" w:cs="仿宋"/>
          <w:b w:val="0"/>
          <w:color w:val="auto"/>
          <w:kern w:val="2"/>
          <w:szCs w:val="32"/>
        </w:rPr>
        <w:t>到2025年，要实现以下目标：</w:t>
      </w:r>
    </w:p>
    <w:p>
      <w:pPr>
        <w:pageBreakBefore w:val="0"/>
        <w:kinsoku/>
        <w:wordWrap/>
        <w:overflowPunct w:val="0"/>
        <w:topLinePunct w:val="0"/>
        <w:autoSpaceDE/>
        <w:autoSpaceDN/>
        <w:bidi w:val="0"/>
        <w:adjustRightInd w:val="0"/>
        <w:snapToGrid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——就业规模</w:t>
      </w:r>
      <w:r>
        <w:rPr>
          <w:rFonts w:hint="eastAsia" w:ascii="仿宋" w:hAnsi="仿宋" w:eastAsia="仿宋" w:cs="仿宋"/>
          <w:color w:val="auto"/>
          <w:sz w:val="32"/>
          <w:szCs w:val="32"/>
          <w:lang w:eastAsia="zh-CN"/>
        </w:rPr>
        <w:t>继续扩大</w:t>
      </w:r>
      <w:r>
        <w:rPr>
          <w:rFonts w:hint="eastAsia" w:ascii="仿宋" w:hAnsi="仿宋" w:eastAsia="仿宋" w:cs="仿宋"/>
          <w:color w:val="auto"/>
          <w:sz w:val="32"/>
          <w:szCs w:val="32"/>
        </w:rPr>
        <w:t>。“十</w:t>
      </w:r>
      <w:r>
        <w:rPr>
          <w:rFonts w:hint="eastAsia" w:ascii="仿宋" w:hAnsi="仿宋" w:eastAsia="仿宋" w:cs="仿宋"/>
          <w:bCs/>
          <w:color w:val="auto"/>
          <w:sz w:val="32"/>
          <w:szCs w:val="32"/>
        </w:rPr>
        <w:t>四五”时期</w:t>
      </w:r>
      <w:r>
        <w:rPr>
          <w:rFonts w:hint="eastAsia" w:ascii="仿宋" w:hAnsi="仿宋" w:eastAsia="仿宋" w:cs="仿宋"/>
          <w:color w:val="auto"/>
          <w:sz w:val="32"/>
          <w:szCs w:val="32"/>
        </w:rPr>
        <w:t>城镇新增就业250万人以上，高校毕业生、农民工、退役军人</w:t>
      </w:r>
      <w:r>
        <w:rPr>
          <w:rFonts w:hint="eastAsia" w:ascii="仿宋" w:hAnsi="仿宋" w:eastAsia="仿宋" w:cs="仿宋"/>
          <w:color w:val="auto"/>
          <w:sz w:val="32"/>
          <w:szCs w:val="32"/>
          <w:lang w:eastAsia="zh-CN"/>
        </w:rPr>
        <w:t>、脱贫人口</w:t>
      </w:r>
      <w:r>
        <w:rPr>
          <w:rFonts w:hint="eastAsia" w:ascii="仿宋" w:hAnsi="仿宋" w:eastAsia="仿宋" w:cs="仿宋"/>
          <w:color w:val="auto"/>
          <w:sz w:val="32"/>
          <w:szCs w:val="32"/>
        </w:rPr>
        <w:t>等重点群体就业形势总体稳定。城镇就业比重不断提高，第三产业从业人员占比逐步扩大，就业结构持续优化。</w:t>
      </w:r>
    </w:p>
    <w:p>
      <w:pPr>
        <w:pageBreakBefore w:val="0"/>
        <w:kinsoku/>
        <w:wordWrap/>
        <w:overflowPunct w:val="0"/>
        <w:topLinePunct w:val="0"/>
        <w:autoSpaceDE/>
        <w:autoSpaceDN/>
        <w:bidi w:val="0"/>
        <w:adjustRightInd w:val="0"/>
        <w:snapToGrid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——就业质量稳步提升。居民人均可支配收入增长与</w:t>
      </w:r>
      <w:r>
        <w:rPr>
          <w:rFonts w:hint="eastAsia" w:ascii="仿宋" w:hAnsi="仿宋" w:eastAsia="仿宋" w:cs="仿宋"/>
          <w:color w:val="auto"/>
          <w:sz w:val="32"/>
          <w:szCs w:val="32"/>
          <w:lang w:eastAsia="zh-CN"/>
        </w:rPr>
        <w:t>全省经济社会发展</w:t>
      </w:r>
      <w:r>
        <w:rPr>
          <w:rFonts w:hint="eastAsia" w:ascii="仿宋" w:hAnsi="仿宋" w:eastAsia="仿宋" w:cs="仿宋"/>
          <w:color w:val="auto"/>
          <w:sz w:val="32"/>
          <w:szCs w:val="32"/>
        </w:rPr>
        <w:t>基本同步，劳动报酬增长与劳动生产率增长基本同步，覆盖城乡的社会保障体系更加健全，劳动关系更加和谐</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劳动者权益保障机制更加完善。</w:t>
      </w:r>
    </w:p>
    <w:p>
      <w:pPr>
        <w:pStyle w:val="16"/>
        <w:pageBreakBefore w:val="0"/>
        <w:kinsoku/>
        <w:wordWrap/>
        <w:overflowPunct w:val="0"/>
        <w:topLinePunct w:val="0"/>
        <w:autoSpaceDE/>
        <w:autoSpaceDN/>
        <w:bidi w:val="0"/>
        <w:adjustRightInd w:val="0"/>
        <w:snapToGrid w:val="0"/>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——结构性就业矛盾明显缓解。劳动者素质普遍提升，全省技能劳动者总量、高技能人才总量持续增加，占劳动者总量比重进一步提高，高技能人才总量达到</w:t>
      </w:r>
      <w:r>
        <w:rPr>
          <w:rFonts w:hint="eastAsia" w:ascii="仿宋" w:hAnsi="仿宋" w:eastAsia="仿宋" w:cs="仿宋"/>
          <w:color w:val="auto"/>
          <w:sz w:val="32"/>
          <w:szCs w:val="32"/>
          <w:lang w:val="en-US" w:eastAsia="zh-CN"/>
        </w:rPr>
        <w:t>155</w:t>
      </w:r>
      <w:r>
        <w:rPr>
          <w:rFonts w:hint="eastAsia" w:ascii="仿宋" w:hAnsi="仿宋" w:eastAsia="仿宋" w:cs="仿宋"/>
          <w:color w:val="auto"/>
          <w:sz w:val="32"/>
          <w:szCs w:val="32"/>
        </w:rPr>
        <w:t>万</w:t>
      </w:r>
      <w:r>
        <w:rPr>
          <w:rFonts w:hint="eastAsia" w:ascii="仿宋" w:hAnsi="仿宋" w:eastAsia="仿宋" w:cs="仿宋"/>
          <w:color w:val="auto"/>
          <w:sz w:val="32"/>
          <w:szCs w:val="32"/>
          <w:lang w:eastAsia="zh-CN"/>
        </w:rPr>
        <w:t>人</w:t>
      </w:r>
      <w:r>
        <w:rPr>
          <w:rFonts w:hint="eastAsia" w:ascii="仿宋" w:hAnsi="仿宋" w:eastAsia="仿宋" w:cs="仿宋"/>
          <w:color w:val="auto"/>
          <w:sz w:val="32"/>
          <w:szCs w:val="32"/>
        </w:rPr>
        <w:t>，专业技术人才总量达到</w:t>
      </w:r>
      <w:r>
        <w:rPr>
          <w:rFonts w:hint="eastAsia" w:ascii="仿宋" w:hAnsi="仿宋" w:eastAsia="仿宋" w:cs="仿宋"/>
          <w:color w:val="auto"/>
          <w:sz w:val="32"/>
          <w:szCs w:val="32"/>
          <w:lang w:val="en-US" w:eastAsia="zh-CN"/>
        </w:rPr>
        <w:t>200</w:t>
      </w:r>
      <w:r>
        <w:rPr>
          <w:rFonts w:hint="eastAsia" w:ascii="仿宋" w:hAnsi="仿宋" w:eastAsia="仿宋" w:cs="仿宋"/>
          <w:color w:val="auto"/>
          <w:sz w:val="32"/>
          <w:szCs w:val="32"/>
        </w:rPr>
        <w:t>万人</w:t>
      </w:r>
      <w:r>
        <w:rPr>
          <w:rFonts w:hint="eastAsia" w:ascii="仿宋" w:hAnsi="仿宋" w:eastAsia="仿宋" w:cs="仿宋"/>
          <w:color w:val="auto"/>
          <w:sz w:val="32"/>
          <w:szCs w:val="32"/>
          <w:lang w:eastAsia="zh-CN"/>
        </w:rPr>
        <w:t>。</w:t>
      </w:r>
    </w:p>
    <w:p>
      <w:pPr>
        <w:pStyle w:val="16"/>
        <w:pageBreakBefore w:val="0"/>
        <w:kinsoku/>
        <w:wordWrap/>
        <w:overflowPunct w:val="0"/>
        <w:topLinePunct w:val="0"/>
        <w:autoSpaceDE/>
        <w:autoSpaceDN/>
        <w:bidi w:val="0"/>
        <w:adjustRightInd w:val="0"/>
        <w:snapToGrid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zh-TW"/>
        </w:rPr>
        <w:t>创业带动就业动能持续释放</w:t>
      </w:r>
      <w:r>
        <w:rPr>
          <w:rFonts w:hint="eastAsia" w:ascii="仿宋" w:hAnsi="仿宋" w:eastAsia="仿宋" w:cs="仿宋"/>
          <w:color w:val="auto"/>
          <w:sz w:val="32"/>
          <w:szCs w:val="32"/>
          <w:lang w:val="zh-TW" w:eastAsia="zh-TW"/>
        </w:rPr>
        <w:t>。</w:t>
      </w:r>
      <w:r>
        <w:rPr>
          <w:rFonts w:hint="eastAsia" w:ascii="仿宋" w:hAnsi="仿宋" w:eastAsia="仿宋" w:cs="仿宋"/>
          <w:color w:val="auto"/>
          <w:sz w:val="32"/>
          <w:szCs w:val="32"/>
        </w:rPr>
        <w:t>创业指导服务机制更加健全，创业培训针对性显著提升，创业孵化基地和创业园区数量稳步增长，创业融资支持力度进一步加大，创业活动品牌更加丰富，劳动者投身创业创新活动积极性不断增强。</w:t>
      </w:r>
    </w:p>
    <w:p>
      <w:pPr>
        <w:pageBreakBefore w:val="0"/>
        <w:kinsoku/>
        <w:wordWrap/>
        <w:overflowPunct w:val="0"/>
        <w:topLinePunct w:val="0"/>
        <w:autoSpaceDE/>
        <w:autoSpaceDN/>
        <w:bidi w:val="0"/>
        <w:adjustRightInd w:val="0"/>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——失业风险有效控制。城镇调查失业率控制在5.5%以内。失业预警机制不断健全，就业困难人员和零就业家庭人员长效化就业援助机制更加完善，确保不发生规模性失业风险。</w:t>
      </w:r>
    </w:p>
    <w:p>
      <w:pPr>
        <w:pageBreakBefore w:val="0"/>
        <w:kinsoku/>
        <w:wordWrap/>
        <w:overflowPunct w:val="0"/>
        <w:topLinePunct w:val="0"/>
        <w:autoSpaceDE/>
        <w:autoSpaceDN/>
        <w:bidi w:val="0"/>
        <w:adjustRightInd w:val="0"/>
        <w:snapToGrid w:val="0"/>
        <w:spacing w:line="600" w:lineRule="exact"/>
        <w:ind w:firstLine="640" w:firstLineChars="200"/>
        <w:textAlignment w:val="auto"/>
        <w:rPr>
          <w:rFonts w:hint="eastAsia" w:ascii="仿宋" w:hAnsi="仿宋" w:eastAsia="仿宋" w:cs="仿宋"/>
          <w:bCs/>
          <w:color w:val="auto"/>
          <w:sz w:val="32"/>
          <w:szCs w:val="32"/>
        </w:rPr>
      </w:pPr>
      <w:r>
        <w:rPr>
          <w:rFonts w:hint="eastAsia" w:ascii="仿宋" w:hAnsi="仿宋" w:eastAsia="仿宋" w:cs="仿宋"/>
          <w:color w:val="auto"/>
          <w:sz w:val="32"/>
          <w:szCs w:val="32"/>
        </w:rPr>
        <w:t>——公共就业服务体系更加健全。提供覆盖全民、贯穿全程、辐射全域的全方位公共就业服务体系，公共就业服务均等化、标准化、专业化、智慧化和人文化水平明显提高。</w:t>
      </w:r>
    </w:p>
    <w:tbl>
      <w:tblPr>
        <w:tblStyle w:val="12"/>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3552"/>
        <w:gridCol w:w="1104"/>
        <w:gridCol w:w="976"/>
        <w:gridCol w:w="1296"/>
        <w:gridCol w:w="972"/>
        <w:gridCol w:w="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2" w:type="dxa"/>
            <w:gridSpan w:val="7"/>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专栏</w:t>
            </w:r>
            <w:r>
              <w:rPr>
                <w:rFonts w:hint="eastAsia" w:ascii="仿宋" w:hAnsi="仿宋" w:eastAsia="仿宋" w:cs="仿宋"/>
                <w:b/>
                <w:color w:val="auto"/>
                <w:sz w:val="28"/>
                <w:szCs w:val="28"/>
                <w:lang w:val="en-US" w:eastAsia="zh-CN"/>
              </w:rPr>
              <w:t>2</w:t>
            </w:r>
            <w:r>
              <w:rPr>
                <w:rFonts w:hint="eastAsia" w:ascii="仿宋" w:hAnsi="仿宋" w:eastAsia="仿宋" w:cs="仿宋"/>
                <w:b/>
                <w:color w:val="auto"/>
                <w:sz w:val="28"/>
                <w:szCs w:val="28"/>
              </w:rPr>
              <w:t>：“十四五”时期就业主要指标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jc w:val="center"/>
        </w:trPr>
        <w:tc>
          <w:tcPr>
            <w:tcW w:w="621"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b/>
                <w:color w:val="auto"/>
                <w:sz w:val="24"/>
                <w:szCs w:val="24"/>
                <w:lang w:eastAsia="zh-CN"/>
              </w:rPr>
            </w:pPr>
            <w:r>
              <w:rPr>
                <w:rFonts w:hint="eastAsia" w:ascii="仿宋" w:hAnsi="仿宋" w:eastAsia="仿宋" w:cs="仿宋"/>
                <w:b/>
                <w:color w:val="auto"/>
                <w:w w:val="80"/>
                <w:sz w:val="24"/>
                <w:szCs w:val="24"/>
                <w:lang w:eastAsia="zh-CN"/>
              </w:rPr>
              <w:t>序号</w:t>
            </w:r>
          </w:p>
        </w:tc>
        <w:tc>
          <w:tcPr>
            <w:tcW w:w="355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指标名称</w:t>
            </w:r>
          </w:p>
        </w:tc>
        <w:tc>
          <w:tcPr>
            <w:tcW w:w="11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2020年</w:t>
            </w:r>
          </w:p>
        </w:tc>
        <w:tc>
          <w:tcPr>
            <w:tcW w:w="97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2025年</w:t>
            </w:r>
          </w:p>
        </w:tc>
        <w:tc>
          <w:tcPr>
            <w:tcW w:w="129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w w:val="80"/>
                <w:sz w:val="24"/>
                <w:szCs w:val="24"/>
              </w:rPr>
              <w:t>年均/累计</w:t>
            </w:r>
          </w:p>
        </w:tc>
        <w:tc>
          <w:tcPr>
            <w:tcW w:w="97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jc w:val="center"/>
        </w:trPr>
        <w:tc>
          <w:tcPr>
            <w:tcW w:w="621"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c>
          <w:tcPr>
            <w:tcW w:w="355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left"/>
              <w:textAlignment w:val="auto"/>
              <w:rPr>
                <w:rFonts w:hint="eastAsia" w:ascii="仿宋" w:hAnsi="仿宋" w:eastAsia="仿宋" w:cs="仿宋"/>
                <w:color w:val="auto"/>
                <w:w w:val="100"/>
                <w:sz w:val="24"/>
                <w:szCs w:val="24"/>
              </w:rPr>
            </w:pPr>
            <w:r>
              <w:rPr>
                <w:rFonts w:hint="eastAsia" w:ascii="仿宋" w:hAnsi="仿宋" w:eastAsia="仿宋" w:cs="仿宋"/>
                <w:color w:val="auto"/>
                <w:w w:val="100"/>
                <w:sz w:val="24"/>
                <w:szCs w:val="24"/>
              </w:rPr>
              <w:t>城镇新增就业（万人）</w:t>
            </w:r>
          </w:p>
        </w:tc>
        <w:tc>
          <w:tcPr>
            <w:tcW w:w="11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49.35</w:t>
            </w:r>
          </w:p>
        </w:tc>
        <w:tc>
          <w:tcPr>
            <w:tcW w:w="97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〔250〕</w:t>
            </w:r>
          </w:p>
        </w:tc>
        <w:tc>
          <w:tcPr>
            <w:tcW w:w="129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50</w:t>
            </w:r>
          </w:p>
        </w:tc>
        <w:tc>
          <w:tcPr>
            <w:tcW w:w="97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jc w:val="center"/>
        </w:trPr>
        <w:tc>
          <w:tcPr>
            <w:tcW w:w="621"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w:t>
            </w:r>
          </w:p>
        </w:tc>
        <w:tc>
          <w:tcPr>
            <w:tcW w:w="355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left"/>
              <w:textAlignment w:val="auto"/>
              <w:rPr>
                <w:rFonts w:hint="eastAsia" w:ascii="仿宋" w:hAnsi="仿宋" w:eastAsia="仿宋" w:cs="仿宋"/>
                <w:color w:val="auto"/>
                <w:w w:val="100"/>
                <w:sz w:val="24"/>
                <w:szCs w:val="24"/>
              </w:rPr>
            </w:pPr>
            <w:r>
              <w:rPr>
                <w:rFonts w:hint="eastAsia" w:ascii="仿宋" w:hAnsi="仿宋" w:eastAsia="仿宋" w:cs="仿宋"/>
                <w:color w:val="auto"/>
                <w:w w:val="100"/>
                <w:sz w:val="24"/>
                <w:szCs w:val="24"/>
              </w:rPr>
              <w:t>城镇调查失业率（%）</w:t>
            </w:r>
          </w:p>
        </w:tc>
        <w:tc>
          <w:tcPr>
            <w:tcW w:w="11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5.6</w:t>
            </w:r>
          </w:p>
        </w:tc>
        <w:tc>
          <w:tcPr>
            <w:tcW w:w="97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&lt;5.5</w:t>
            </w:r>
          </w:p>
        </w:tc>
        <w:tc>
          <w:tcPr>
            <w:tcW w:w="129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5.5以内</w:t>
            </w:r>
          </w:p>
        </w:tc>
        <w:tc>
          <w:tcPr>
            <w:tcW w:w="97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jc w:val="center"/>
        </w:trPr>
        <w:tc>
          <w:tcPr>
            <w:tcW w:w="621"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c>
          <w:tcPr>
            <w:tcW w:w="355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left"/>
              <w:textAlignment w:val="auto"/>
              <w:rPr>
                <w:rFonts w:hint="eastAsia" w:ascii="仿宋" w:hAnsi="仿宋" w:eastAsia="仿宋" w:cs="仿宋"/>
                <w:color w:val="auto"/>
                <w:w w:val="100"/>
                <w:sz w:val="24"/>
                <w:szCs w:val="24"/>
              </w:rPr>
            </w:pPr>
            <w:r>
              <w:rPr>
                <w:rFonts w:hint="eastAsia" w:ascii="仿宋" w:hAnsi="仿宋" w:eastAsia="仿宋" w:cs="仿宋"/>
                <w:color w:val="auto"/>
                <w:w w:val="100"/>
                <w:sz w:val="24"/>
                <w:szCs w:val="24"/>
              </w:rPr>
              <w:t>城镇就业占比（%）</w:t>
            </w:r>
          </w:p>
        </w:tc>
        <w:tc>
          <w:tcPr>
            <w:tcW w:w="11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46</w:t>
            </w:r>
          </w:p>
        </w:tc>
        <w:tc>
          <w:tcPr>
            <w:tcW w:w="97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&gt;65</w:t>
            </w:r>
          </w:p>
        </w:tc>
        <w:tc>
          <w:tcPr>
            <w:tcW w:w="129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97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jc w:val="center"/>
        </w:trPr>
        <w:tc>
          <w:tcPr>
            <w:tcW w:w="621"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w:t>
            </w:r>
          </w:p>
        </w:tc>
        <w:tc>
          <w:tcPr>
            <w:tcW w:w="355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left"/>
              <w:textAlignment w:val="auto"/>
              <w:rPr>
                <w:rFonts w:hint="eastAsia" w:ascii="仿宋" w:hAnsi="仿宋" w:eastAsia="仿宋" w:cs="仿宋"/>
                <w:color w:val="auto"/>
                <w:w w:val="100"/>
                <w:sz w:val="24"/>
                <w:szCs w:val="24"/>
                <w:lang w:eastAsia="zh-CN"/>
              </w:rPr>
            </w:pPr>
            <w:r>
              <w:rPr>
                <w:rFonts w:hint="eastAsia" w:ascii="仿宋" w:hAnsi="仿宋" w:eastAsia="仿宋" w:cs="仿宋"/>
                <w:color w:val="auto"/>
                <w:w w:val="100"/>
                <w:sz w:val="24"/>
                <w:szCs w:val="24"/>
                <w:lang w:eastAsia="zh-CN"/>
              </w:rPr>
              <w:t>扶持自主创业人数（万人）</w:t>
            </w:r>
          </w:p>
        </w:tc>
        <w:tc>
          <w:tcPr>
            <w:tcW w:w="11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kern w:val="0"/>
                <w:sz w:val="24"/>
                <w:szCs w:val="24"/>
              </w:rPr>
              <w:t>〔</w:t>
            </w:r>
            <w:r>
              <w:rPr>
                <w:rFonts w:hint="eastAsia" w:ascii="仿宋" w:hAnsi="仿宋" w:eastAsia="仿宋" w:cs="仿宋"/>
                <w:color w:val="auto"/>
                <w:kern w:val="0"/>
                <w:sz w:val="24"/>
                <w:szCs w:val="24"/>
                <w:lang w:val="en-US" w:eastAsia="zh-CN"/>
              </w:rPr>
              <w:t>62</w:t>
            </w:r>
            <w:r>
              <w:rPr>
                <w:rFonts w:hint="eastAsia" w:ascii="仿宋" w:hAnsi="仿宋" w:eastAsia="仿宋" w:cs="仿宋"/>
                <w:color w:val="auto"/>
                <w:kern w:val="0"/>
                <w:sz w:val="24"/>
                <w:szCs w:val="24"/>
              </w:rPr>
              <w:t>〕</w:t>
            </w:r>
          </w:p>
        </w:tc>
        <w:tc>
          <w:tcPr>
            <w:tcW w:w="97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default" w:ascii="Arial" w:hAnsi="Arial" w:eastAsia="仿宋" w:cs="Arial"/>
                <w:color w:val="auto"/>
                <w:sz w:val="24"/>
                <w:szCs w:val="24"/>
                <w:lang w:val="en-US" w:eastAsia="zh-CN"/>
              </w:rPr>
              <w:t>≥</w:t>
            </w:r>
            <w:r>
              <w:rPr>
                <w:rFonts w:hint="eastAsia" w:ascii="仿宋" w:hAnsi="仿宋" w:eastAsia="仿宋" w:cs="仿宋"/>
                <w:color w:val="auto"/>
                <w:sz w:val="24"/>
                <w:szCs w:val="24"/>
                <w:lang w:val="en-US" w:eastAsia="zh-CN"/>
              </w:rPr>
              <w:t>40</w:t>
            </w:r>
          </w:p>
        </w:tc>
        <w:tc>
          <w:tcPr>
            <w:tcW w:w="129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8以上</w:t>
            </w:r>
          </w:p>
        </w:tc>
        <w:tc>
          <w:tcPr>
            <w:tcW w:w="97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389" w:hRule="atLeast"/>
          <w:jc w:val="center"/>
        </w:trPr>
        <w:tc>
          <w:tcPr>
            <w:tcW w:w="62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w:t>
            </w:r>
          </w:p>
        </w:tc>
        <w:tc>
          <w:tcPr>
            <w:tcW w:w="355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auto"/>
                <w:w w:val="100"/>
                <w:kern w:val="2"/>
                <w:sz w:val="24"/>
                <w:szCs w:val="24"/>
                <w:lang w:val="en-US" w:eastAsia="zh-CN" w:bidi="ar-SA"/>
              </w:rPr>
            </w:pPr>
            <w:r>
              <w:rPr>
                <w:rFonts w:hint="eastAsia" w:ascii="仿宋" w:hAnsi="仿宋" w:eastAsia="仿宋" w:cs="仿宋"/>
                <w:color w:val="auto"/>
                <w:w w:val="90"/>
                <w:kern w:val="2"/>
                <w:sz w:val="24"/>
                <w:szCs w:val="24"/>
                <w:lang w:val="en-US" w:eastAsia="zh-CN" w:bidi="ar-SA"/>
              </w:rPr>
              <w:t>农村劳动力转移就业规模（万人）</w:t>
            </w:r>
          </w:p>
        </w:tc>
        <w:tc>
          <w:tcPr>
            <w:tcW w:w="1104" w:type="dxa"/>
            <w:vAlign w:val="center"/>
          </w:tcPr>
          <w:p>
            <w:pPr>
              <w:pStyle w:val="2"/>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仿宋" w:hAnsi="仿宋" w:eastAsia="仿宋" w:cs="仿宋"/>
                <w:color w:val="auto"/>
                <w:w w:val="90"/>
                <w:kern w:val="2"/>
                <w:sz w:val="24"/>
                <w:szCs w:val="24"/>
                <w:lang w:val="en-US" w:eastAsia="zh-CN" w:bidi="ar-SA"/>
              </w:rPr>
            </w:pPr>
            <w:r>
              <w:rPr>
                <w:rFonts w:hint="eastAsia" w:ascii="仿宋" w:hAnsi="仿宋" w:eastAsia="仿宋" w:cs="仿宋"/>
                <w:color w:val="auto"/>
                <w:w w:val="90"/>
                <w:kern w:val="2"/>
                <w:sz w:val="24"/>
                <w:szCs w:val="24"/>
                <w:lang w:val="en-US" w:eastAsia="zh-CN" w:bidi="ar-SA"/>
              </w:rPr>
              <w:t>1515.52</w:t>
            </w:r>
          </w:p>
        </w:tc>
        <w:tc>
          <w:tcPr>
            <w:tcW w:w="976" w:type="dxa"/>
            <w:vAlign w:val="center"/>
          </w:tcPr>
          <w:p>
            <w:pPr>
              <w:pStyle w:val="2"/>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default" w:ascii="仿宋" w:hAnsi="仿宋" w:eastAsia="仿宋" w:cs="仿宋"/>
                <w:color w:val="auto"/>
                <w:w w:val="90"/>
                <w:sz w:val="24"/>
                <w:szCs w:val="24"/>
                <w:lang w:val="en-US" w:eastAsia="zh-CN"/>
              </w:rPr>
            </w:pPr>
            <w:r>
              <w:rPr>
                <w:rFonts w:hint="eastAsia" w:ascii="仿宋" w:hAnsi="仿宋" w:eastAsia="仿宋" w:cs="仿宋"/>
                <w:color w:val="auto"/>
                <w:w w:val="90"/>
                <w:sz w:val="24"/>
                <w:szCs w:val="24"/>
              </w:rPr>
              <w:t>&gt;</w:t>
            </w:r>
            <w:r>
              <w:rPr>
                <w:rFonts w:hint="eastAsia" w:ascii="仿宋" w:hAnsi="仿宋" w:eastAsia="仿宋" w:cs="仿宋"/>
                <w:color w:val="auto"/>
                <w:w w:val="90"/>
                <w:sz w:val="24"/>
                <w:szCs w:val="24"/>
                <w:lang w:val="en-US" w:eastAsia="zh-CN"/>
              </w:rPr>
              <w:t>1500</w:t>
            </w:r>
          </w:p>
        </w:tc>
        <w:tc>
          <w:tcPr>
            <w:tcW w:w="1296" w:type="dxa"/>
            <w:vAlign w:val="center"/>
          </w:tcPr>
          <w:p>
            <w:pPr>
              <w:pStyle w:val="2"/>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default" w:ascii="仿宋" w:hAnsi="仿宋" w:eastAsia="仿宋" w:cs="仿宋"/>
                <w:color w:val="auto"/>
                <w:w w:val="90"/>
                <w:sz w:val="24"/>
                <w:szCs w:val="24"/>
                <w:lang w:val="en-US" w:eastAsia="zh-CN"/>
              </w:rPr>
            </w:pPr>
            <w:r>
              <w:rPr>
                <w:rFonts w:hint="eastAsia" w:ascii="仿宋" w:hAnsi="仿宋" w:eastAsia="仿宋" w:cs="仿宋"/>
                <w:color w:val="auto"/>
                <w:w w:val="90"/>
                <w:sz w:val="24"/>
                <w:szCs w:val="24"/>
                <w:lang w:val="en-US" w:eastAsia="zh-CN"/>
              </w:rPr>
              <w:t>1500以上</w:t>
            </w:r>
          </w:p>
        </w:tc>
        <w:tc>
          <w:tcPr>
            <w:tcW w:w="972" w:type="dxa"/>
            <w:vAlign w:val="center"/>
          </w:tcPr>
          <w:p>
            <w:pPr>
              <w:pStyle w:val="2"/>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仿宋" w:hAnsi="仿宋" w:eastAsia="仿宋" w:cs="仿宋"/>
                <w:color w:val="auto"/>
                <w:w w:val="90"/>
                <w:sz w:val="24"/>
                <w:szCs w:val="24"/>
              </w:rPr>
            </w:pPr>
            <w:r>
              <w:rPr>
                <w:rFonts w:hint="eastAsia" w:ascii="仿宋" w:hAnsi="仿宋" w:eastAsia="仿宋" w:cs="仿宋"/>
                <w:color w:val="auto"/>
                <w:w w:val="90"/>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559" w:hRule="atLeast"/>
          <w:jc w:val="center"/>
        </w:trPr>
        <w:tc>
          <w:tcPr>
            <w:tcW w:w="62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w:t>
            </w:r>
          </w:p>
        </w:tc>
        <w:tc>
          <w:tcPr>
            <w:tcW w:w="355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auto"/>
                <w:w w:val="100"/>
                <w:kern w:val="2"/>
                <w:sz w:val="24"/>
                <w:szCs w:val="24"/>
                <w:lang w:val="en-US" w:eastAsia="zh-CN" w:bidi="ar-SA"/>
              </w:rPr>
            </w:pPr>
            <w:r>
              <w:rPr>
                <w:rFonts w:hint="eastAsia" w:ascii="仿宋" w:hAnsi="仿宋" w:eastAsia="仿宋" w:cs="仿宋"/>
                <w:color w:val="auto"/>
                <w:w w:val="100"/>
                <w:kern w:val="2"/>
                <w:sz w:val="24"/>
                <w:szCs w:val="24"/>
                <w:lang w:val="en-US" w:eastAsia="zh-CN" w:bidi="ar-SA"/>
              </w:rPr>
              <w:t>农民工务工月均收入（元）</w:t>
            </w:r>
          </w:p>
        </w:tc>
        <w:tc>
          <w:tcPr>
            <w:tcW w:w="11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3526</w:t>
            </w:r>
          </w:p>
        </w:tc>
        <w:tc>
          <w:tcPr>
            <w:tcW w:w="976" w:type="dxa"/>
            <w:vAlign w:val="center"/>
          </w:tcPr>
          <w:p>
            <w:pPr>
              <w:pStyle w:val="2"/>
              <w:keepNext w:val="0"/>
              <w:keepLines w:val="0"/>
              <w:pageBreakBefore w:val="0"/>
              <w:widowControl w:val="0"/>
              <w:kinsoku/>
              <w:wordWrap/>
              <w:overflowPunct/>
              <w:topLinePunct w:val="0"/>
              <w:autoSpaceDE/>
              <w:autoSpaceDN/>
              <w:bidi w:val="0"/>
              <w:adjustRightInd/>
              <w:snapToGrid/>
              <w:spacing w:after="0" w:line="300" w:lineRule="exact"/>
              <w:ind w:left="0" w:leftChars="0" w:right="0" w:rightChars="0" w:firstLine="0" w:firstLineChars="0"/>
              <w:jc w:val="center"/>
              <w:textAlignment w:val="auto"/>
              <w:outlineLvl w:val="9"/>
              <w:rPr>
                <w:rFonts w:hint="eastAsia" w:ascii="仿宋" w:hAnsi="仿宋" w:eastAsia="仿宋" w:cs="仿宋"/>
                <w:color w:val="auto"/>
                <w:sz w:val="24"/>
                <w:szCs w:val="24"/>
                <w:lang w:eastAsia="zh-CN"/>
              </w:rPr>
            </w:pPr>
            <w:r>
              <w:rPr>
                <w:rFonts w:hint="eastAsia" w:ascii="仿宋" w:hAnsi="仿宋" w:eastAsia="仿宋" w:cs="仿宋"/>
                <w:color w:val="auto"/>
                <w:sz w:val="18"/>
                <w:szCs w:val="18"/>
                <w:lang w:eastAsia="zh-CN"/>
              </w:rPr>
              <w:t>达到全国平均水平</w:t>
            </w:r>
          </w:p>
        </w:tc>
        <w:tc>
          <w:tcPr>
            <w:tcW w:w="129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p>
        </w:tc>
        <w:tc>
          <w:tcPr>
            <w:tcW w:w="97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90" w:hRule="atLeast"/>
          <w:jc w:val="center"/>
        </w:trPr>
        <w:tc>
          <w:tcPr>
            <w:tcW w:w="621"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w:t>
            </w:r>
          </w:p>
        </w:tc>
        <w:tc>
          <w:tcPr>
            <w:tcW w:w="3552"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left"/>
              <w:textAlignment w:val="auto"/>
              <w:rPr>
                <w:rFonts w:hint="eastAsia" w:ascii="仿宋" w:hAnsi="仿宋" w:eastAsia="仿宋" w:cs="仿宋"/>
                <w:color w:val="auto"/>
                <w:w w:val="90"/>
                <w:sz w:val="24"/>
                <w:szCs w:val="24"/>
              </w:rPr>
            </w:pPr>
            <w:r>
              <w:rPr>
                <w:rFonts w:hint="eastAsia" w:ascii="仿宋" w:hAnsi="仿宋" w:eastAsia="仿宋" w:cs="仿宋"/>
                <w:color w:val="auto"/>
                <w:w w:val="90"/>
                <w:sz w:val="24"/>
                <w:szCs w:val="24"/>
              </w:rPr>
              <w:t>全员劳动生产率增长（</w:t>
            </w:r>
            <w:r>
              <w:rPr>
                <w:rFonts w:hint="eastAsia" w:ascii="仿宋" w:hAnsi="仿宋" w:eastAsia="仿宋" w:cs="仿宋"/>
                <w:color w:val="auto"/>
                <w:w w:val="90"/>
                <w:sz w:val="24"/>
                <w:szCs w:val="24"/>
                <w:lang w:eastAsia="zh-CN"/>
              </w:rPr>
              <w:t>万元</w:t>
            </w:r>
            <w:r>
              <w:rPr>
                <w:rFonts w:hint="eastAsia" w:ascii="仿宋" w:hAnsi="仿宋" w:eastAsia="仿宋" w:cs="仿宋"/>
                <w:color w:val="auto"/>
                <w:w w:val="90"/>
                <w:sz w:val="24"/>
                <w:szCs w:val="24"/>
                <w:lang w:val="en-US" w:eastAsia="zh-CN"/>
              </w:rPr>
              <w:t>/人、</w:t>
            </w:r>
            <w:r>
              <w:rPr>
                <w:rFonts w:hint="eastAsia" w:ascii="仿宋" w:hAnsi="仿宋" w:eastAsia="仿宋" w:cs="仿宋"/>
                <w:color w:val="auto"/>
                <w:w w:val="90"/>
                <w:sz w:val="24"/>
                <w:szCs w:val="24"/>
              </w:rPr>
              <w:t>%）</w:t>
            </w:r>
          </w:p>
        </w:tc>
        <w:tc>
          <w:tcPr>
            <w:tcW w:w="1104"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8.2</w:t>
            </w:r>
          </w:p>
        </w:tc>
        <w:tc>
          <w:tcPr>
            <w:tcW w:w="976"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11.7</w:t>
            </w:r>
          </w:p>
        </w:tc>
        <w:tc>
          <w:tcPr>
            <w:tcW w:w="1296"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7.4%</w:t>
            </w:r>
          </w:p>
        </w:tc>
        <w:tc>
          <w:tcPr>
            <w:tcW w:w="972"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32" w:hRule="atLeast"/>
          <w:jc w:val="center"/>
        </w:trPr>
        <w:tc>
          <w:tcPr>
            <w:tcW w:w="621"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w:t>
            </w:r>
          </w:p>
        </w:tc>
        <w:tc>
          <w:tcPr>
            <w:tcW w:w="3552"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left"/>
              <w:textAlignment w:val="auto"/>
              <w:rPr>
                <w:rFonts w:hint="eastAsia" w:ascii="仿宋" w:hAnsi="仿宋" w:eastAsia="仿宋" w:cs="仿宋"/>
                <w:color w:val="auto"/>
                <w:w w:val="90"/>
                <w:sz w:val="24"/>
                <w:szCs w:val="24"/>
              </w:rPr>
            </w:pPr>
            <w:r>
              <w:rPr>
                <w:rFonts w:hint="eastAsia" w:ascii="仿宋" w:hAnsi="仿宋" w:eastAsia="仿宋" w:cs="仿宋"/>
                <w:color w:val="auto"/>
                <w:w w:val="90"/>
                <w:sz w:val="24"/>
                <w:szCs w:val="24"/>
              </w:rPr>
              <w:t>开展补贴性职业技能培训（万人次）</w:t>
            </w:r>
          </w:p>
        </w:tc>
        <w:tc>
          <w:tcPr>
            <w:tcW w:w="1104"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160.67</w:t>
            </w:r>
          </w:p>
        </w:tc>
        <w:tc>
          <w:tcPr>
            <w:tcW w:w="976"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500</w:t>
            </w:r>
            <w:r>
              <w:rPr>
                <w:rFonts w:hint="eastAsia" w:ascii="仿宋" w:hAnsi="仿宋" w:eastAsia="仿宋" w:cs="仿宋"/>
                <w:color w:val="auto"/>
                <w:sz w:val="24"/>
                <w:szCs w:val="24"/>
              </w:rPr>
              <w:t>〕</w:t>
            </w:r>
          </w:p>
        </w:tc>
        <w:tc>
          <w:tcPr>
            <w:tcW w:w="1296"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100以上</w:t>
            </w:r>
          </w:p>
        </w:tc>
        <w:tc>
          <w:tcPr>
            <w:tcW w:w="972"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48" w:hRule="atLeast"/>
          <w:jc w:val="center"/>
        </w:trPr>
        <w:tc>
          <w:tcPr>
            <w:tcW w:w="621"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9</w:t>
            </w:r>
          </w:p>
        </w:tc>
        <w:tc>
          <w:tcPr>
            <w:tcW w:w="3552"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left"/>
              <w:textAlignment w:val="auto"/>
              <w:rPr>
                <w:rFonts w:hint="eastAsia" w:ascii="仿宋" w:hAnsi="仿宋" w:eastAsia="仿宋" w:cs="仿宋"/>
                <w:color w:val="auto"/>
                <w:w w:val="100"/>
                <w:sz w:val="24"/>
                <w:szCs w:val="24"/>
                <w:lang w:eastAsia="zh-CN"/>
              </w:rPr>
            </w:pPr>
            <w:r>
              <w:rPr>
                <w:rFonts w:hint="eastAsia" w:ascii="仿宋" w:hAnsi="仿宋" w:eastAsia="仿宋" w:cs="仿宋"/>
                <w:color w:val="auto"/>
                <w:w w:val="100"/>
                <w:sz w:val="24"/>
                <w:szCs w:val="24"/>
                <w:lang w:eastAsia="zh-CN"/>
              </w:rPr>
              <w:t>技工院校招生人数</w:t>
            </w:r>
            <w:r>
              <w:rPr>
                <w:rFonts w:hint="eastAsia" w:ascii="仿宋" w:hAnsi="仿宋" w:eastAsia="仿宋" w:cs="仿宋"/>
                <w:color w:val="auto"/>
                <w:w w:val="100"/>
                <w:sz w:val="24"/>
                <w:szCs w:val="24"/>
              </w:rPr>
              <w:t>（万人）</w:t>
            </w:r>
          </w:p>
        </w:tc>
        <w:tc>
          <w:tcPr>
            <w:tcW w:w="1104"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c>
          <w:tcPr>
            <w:tcW w:w="976"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 w:hAnsi="仿宋" w:eastAsia="仿宋" w:cs="仿宋"/>
                <w:color w:val="auto"/>
                <w:sz w:val="24"/>
                <w:szCs w:val="24"/>
                <w:lang w:val="en-US"/>
              </w:rPr>
            </w:pPr>
            <w:r>
              <w:rPr>
                <w:rFonts w:hint="eastAsia" w:ascii="仿宋" w:hAnsi="仿宋" w:eastAsia="仿宋" w:cs="仿宋"/>
                <w:color w:val="auto"/>
                <w:sz w:val="24"/>
                <w:szCs w:val="24"/>
              </w:rPr>
              <w:t>&gt;</w:t>
            </w:r>
            <w:r>
              <w:rPr>
                <w:rFonts w:hint="eastAsia" w:ascii="仿宋" w:hAnsi="仿宋" w:eastAsia="仿宋" w:cs="仿宋"/>
                <w:color w:val="auto"/>
                <w:sz w:val="24"/>
                <w:szCs w:val="24"/>
                <w:lang w:val="en-US" w:eastAsia="zh-CN"/>
              </w:rPr>
              <w:t>25</w:t>
            </w:r>
          </w:p>
        </w:tc>
        <w:tc>
          <w:tcPr>
            <w:tcW w:w="1296"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w:t>
            </w:r>
          </w:p>
        </w:tc>
        <w:tc>
          <w:tcPr>
            <w:tcW w:w="972" w:type="dxa"/>
            <w:vAlign w:val="center"/>
          </w:tcPr>
          <w:p>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00" w:hRule="atLeast"/>
          <w:jc w:val="center"/>
        </w:trPr>
        <w:tc>
          <w:tcPr>
            <w:tcW w:w="621"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10</w:t>
            </w:r>
          </w:p>
        </w:tc>
        <w:tc>
          <w:tcPr>
            <w:tcW w:w="3552"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left"/>
              <w:textAlignment w:val="auto"/>
              <w:rPr>
                <w:rFonts w:hint="eastAsia" w:ascii="仿宋" w:hAnsi="仿宋" w:eastAsia="仿宋" w:cs="仿宋"/>
                <w:color w:val="auto"/>
                <w:w w:val="100"/>
                <w:sz w:val="24"/>
                <w:szCs w:val="24"/>
                <w:lang w:eastAsia="zh-CN"/>
              </w:rPr>
            </w:pPr>
            <w:r>
              <w:rPr>
                <w:rFonts w:hint="eastAsia" w:ascii="仿宋" w:hAnsi="仿宋" w:eastAsia="仿宋" w:cs="仿宋"/>
                <w:color w:val="auto"/>
                <w:w w:val="100"/>
                <w:sz w:val="24"/>
                <w:szCs w:val="24"/>
                <w:lang w:eastAsia="zh-CN"/>
              </w:rPr>
              <w:t>全省技能人才总量</w:t>
            </w:r>
            <w:r>
              <w:rPr>
                <w:rFonts w:hint="eastAsia" w:ascii="仿宋" w:hAnsi="仿宋" w:eastAsia="仿宋" w:cs="仿宋"/>
                <w:color w:val="auto"/>
                <w:w w:val="100"/>
                <w:sz w:val="24"/>
                <w:szCs w:val="24"/>
              </w:rPr>
              <w:t>（万人）</w:t>
            </w:r>
          </w:p>
        </w:tc>
        <w:tc>
          <w:tcPr>
            <w:tcW w:w="1104"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384</w:t>
            </w:r>
          </w:p>
        </w:tc>
        <w:tc>
          <w:tcPr>
            <w:tcW w:w="976"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 w:hAnsi="仿宋" w:eastAsia="仿宋" w:cs="仿宋"/>
                <w:color w:val="auto"/>
                <w:sz w:val="24"/>
                <w:szCs w:val="24"/>
                <w:lang w:val="en-US"/>
              </w:rPr>
            </w:pPr>
            <w:r>
              <w:rPr>
                <w:rFonts w:hint="eastAsia" w:ascii="仿宋" w:hAnsi="仿宋" w:eastAsia="仿宋" w:cs="仿宋"/>
                <w:color w:val="auto"/>
                <w:sz w:val="24"/>
                <w:szCs w:val="24"/>
              </w:rPr>
              <w:t>&gt;</w:t>
            </w:r>
            <w:r>
              <w:rPr>
                <w:rFonts w:hint="eastAsia" w:ascii="仿宋" w:hAnsi="仿宋" w:eastAsia="仿宋" w:cs="仿宋"/>
                <w:color w:val="auto"/>
                <w:sz w:val="24"/>
                <w:szCs w:val="24"/>
                <w:lang w:val="en-US" w:eastAsia="zh-CN"/>
              </w:rPr>
              <w:t>500</w:t>
            </w:r>
          </w:p>
        </w:tc>
        <w:tc>
          <w:tcPr>
            <w:tcW w:w="1296"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23.5</w:t>
            </w:r>
          </w:p>
        </w:tc>
        <w:tc>
          <w:tcPr>
            <w:tcW w:w="972" w:type="dxa"/>
            <w:vAlign w:val="center"/>
          </w:tcPr>
          <w:p>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326" w:hRule="atLeast"/>
          <w:jc w:val="center"/>
        </w:trPr>
        <w:tc>
          <w:tcPr>
            <w:tcW w:w="621"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11</w:t>
            </w:r>
          </w:p>
        </w:tc>
        <w:tc>
          <w:tcPr>
            <w:tcW w:w="3552"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left"/>
              <w:textAlignment w:val="auto"/>
              <w:rPr>
                <w:rFonts w:hint="eastAsia" w:ascii="仿宋" w:hAnsi="仿宋" w:eastAsia="仿宋" w:cs="仿宋"/>
                <w:color w:val="auto"/>
                <w:w w:val="100"/>
                <w:sz w:val="24"/>
                <w:szCs w:val="24"/>
                <w:lang w:eastAsia="zh-CN"/>
              </w:rPr>
            </w:pPr>
            <w:r>
              <w:rPr>
                <w:rFonts w:hint="eastAsia" w:ascii="仿宋" w:hAnsi="仿宋" w:eastAsia="仿宋" w:cs="仿宋"/>
                <w:color w:val="auto"/>
                <w:w w:val="100"/>
                <w:sz w:val="24"/>
                <w:szCs w:val="24"/>
                <w:lang w:eastAsia="zh-CN"/>
              </w:rPr>
              <w:t>高技能人才总量</w:t>
            </w:r>
            <w:r>
              <w:rPr>
                <w:rFonts w:hint="eastAsia" w:ascii="仿宋" w:hAnsi="仿宋" w:eastAsia="仿宋" w:cs="仿宋"/>
                <w:color w:val="auto"/>
                <w:w w:val="100"/>
                <w:sz w:val="24"/>
                <w:szCs w:val="24"/>
              </w:rPr>
              <w:t>（万人）</w:t>
            </w:r>
          </w:p>
        </w:tc>
        <w:tc>
          <w:tcPr>
            <w:tcW w:w="1104"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116</w:t>
            </w:r>
          </w:p>
        </w:tc>
        <w:tc>
          <w:tcPr>
            <w:tcW w:w="976"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default" w:ascii="仿宋" w:hAnsi="仿宋" w:eastAsia="仿宋" w:cs="仿宋"/>
                <w:color w:val="auto"/>
                <w:sz w:val="24"/>
                <w:szCs w:val="24"/>
                <w:lang w:val="en-US"/>
              </w:rPr>
            </w:pPr>
            <w:r>
              <w:rPr>
                <w:rFonts w:hint="eastAsia" w:ascii="仿宋" w:hAnsi="仿宋" w:eastAsia="仿宋" w:cs="仿宋"/>
                <w:color w:val="auto"/>
                <w:sz w:val="24"/>
                <w:szCs w:val="24"/>
              </w:rPr>
              <w:t>&gt;</w:t>
            </w:r>
            <w:r>
              <w:rPr>
                <w:rFonts w:hint="eastAsia" w:ascii="仿宋" w:hAnsi="仿宋" w:eastAsia="仿宋" w:cs="仿宋"/>
                <w:color w:val="auto"/>
                <w:sz w:val="24"/>
                <w:szCs w:val="24"/>
                <w:lang w:val="en-US" w:eastAsia="zh-CN"/>
              </w:rPr>
              <w:t>155</w:t>
            </w:r>
          </w:p>
        </w:tc>
        <w:tc>
          <w:tcPr>
            <w:tcW w:w="1296" w:type="dxa"/>
            <w:vAlign w:val="center"/>
          </w:tcPr>
          <w:p>
            <w:pPr>
              <w:pStyle w:val="2"/>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7.8</w:t>
            </w:r>
          </w:p>
        </w:tc>
        <w:tc>
          <w:tcPr>
            <w:tcW w:w="972" w:type="dxa"/>
            <w:vAlign w:val="center"/>
          </w:tcPr>
          <w:p>
            <w:pPr>
              <w:keepNext w:val="0"/>
              <w:keepLines w:val="0"/>
              <w:pageBreakBefore w:val="0"/>
              <w:widowControl w:val="0"/>
              <w:kinsoku/>
              <w:wordWrap/>
              <w:overflowPunct/>
              <w:topLinePunct w:val="0"/>
              <w:autoSpaceDE/>
              <w:autoSpaceDN/>
              <w:bidi w:val="0"/>
              <w:adjustRightInd/>
              <w:snapToGrid/>
              <w:spacing w:after="0" w:line="32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602" w:hRule="atLeast"/>
          <w:jc w:val="center"/>
        </w:trPr>
        <w:tc>
          <w:tcPr>
            <w:tcW w:w="621"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center"/>
              <w:textAlignment w:val="auto"/>
              <w:outlineLvl w:val="9"/>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12</w:t>
            </w:r>
          </w:p>
        </w:tc>
        <w:tc>
          <w:tcPr>
            <w:tcW w:w="355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left"/>
              <w:textAlignment w:val="auto"/>
              <w:outlineLvl w:val="9"/>
              <w:rPr>
                <w:rFonts w:hint="eastAsia" w:ascii="仿宋" w:hAnsi="仿宋" w:eastAsia="仿宋" w:cs="仿宋"/>
                <w:color w:val="auto"/>
                <w:sz w:val="24"/>
                <w:szCs w:val="24"/>
                <w:lang w:eastAsia="zh-CN"/>
              </w:rPr>
            </w:pPr>
            <w:r>
              <w:rPr>
                <w:rFonts w:hint="eastAsia" w:ascii="仿宋" w:hAnsi="仿宋" w:eastAsia="仿宋" w:cs="仿宋"/>
                <w:color w:val="auto"/>
                <w:w w:val="90"/>
                <w:sz w:val="24"/>
                <w:szCs w:val="24"/>
                <w:lang w:eastAsia="zh-CN"/>
              </w:rPr>
              <w:t>取得高级工及以上职业资格证书或职业技能等级证书（万人次）</w:t>
            </w:r>
          </w:p>
        </w:tc>
        <w:tc>
          <w:tcPr>
            <w:tcW w:w="11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center"/>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97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rPr>
            </w:pPr>
            <w:r>
              <w:rPr>
                <w:rFonts w:hint="eastAsia" w:ascii="仿宋" w:hAnsi="仿宋" w:eastAsia="仿宋" w:cs="仿宋"/>
                <w:color w:val="auto"/>
                <w:sz w:val="24"/>
                <w:szCs w:val="24"/>
              </w:rPr>
              <w:t>&gt;</w:t>
            </w:r>
            <w:r>
              <w:rPr>
                <w:rFonts w:hint="eastAsia" w:ascii="仿宋" w:hAnsi="仿宋" w:eastAsia="仿宋" w:cs="仿宋"/>
                <w:color w:val="auto"/>
                <w:sz w:val="24"/>
                <w:szCs w:val="24"/>
                <w:lang w:val="en-US" w:eastAsia="zh-CN"/>
              </w:rPr>
              <w:t>50</w:t>
            </w:r>
          </w:p>
        </w:tc>
        <w:tc>
          <w:tcPr>
            <w:tcW w:w="129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10以上</w:t>
            </w:r>
          </w:p>
        </w:tc>
        <w:tc>
          <w:tcPr>
            <w:tcW w:w="97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jc w:val="center"/>
        </w:trPr>
        <w:tc>
          <w:tcPr>
            <w:tcW w:w="621"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13</w:t>
            </w:r>
          </w:p>
        </w:tc>
        <w:tc>
          <w:tcPr>
            <w:tcW w:w="355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left"/>
              <w:textAlignment w:val="auto"/>
              <w:rPr>
                <w:rFonts w:hint="eastAsia" w:ascii="仿宋" w:hAnsi="仿宋" w:eastAsia="仿宋" w:cs="仿宋"/>
                <w:color w:val="auto"/>
                <w:sz w:val="24"/>
                <w:szCs w:val="24"/>
              </w:rPr>
            </w:pPr>
            <w:r>
              <w:rPr>
                <w:rFonts w:hint="eastAsia" w:ascii="仿宋" w:hAnsi="仿宋" w:eastAsia="仿宋" w:cs="仿宋"/>
                <w:color w:val="auto"/>
                <w:w w:val="100"/>
                <w:sz w:val="24"/>
                <w:szCs w:val="24"/>
              </w:rPr>
              <w:t>基本养老保险参保率（%）</w:t>
            </w:r>
          </w:p>
        </w:tc>
        <w:tc>
          <w:tcPr>
            <w:tcW w:w="11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default" w:ascii="Arial" w:hAnsi="Arial" w:eastAsia="仿宋" w:cs="Arial"/>
                <w:color w:val="auto"/>
                <w:sz w:val="24"/>
                <w:szCs w:val="24"/>
                <w:lang w:val="en-US" w:eastAsia="zh-CN"/>
              </w:rPr>
              <w:t>≥</w:t>
            </w:r>
            <w:r>
              <w:rPr>
                <w:rFonts w:hint="eastAsia" w:ascii="仿宋" w:hAnsi="仿宋" w:eastAsia="仿宋" w:cs="仿宋"/>
                <w:color w:val="auto"/>
                <w:sz w:val="24"/>
                <w:szCs w:val="24"/>
                <w:lang w:val="en-US" w:eastAsia="zh-CN"/>
              </w:rPr>
              <w:t>90</w:t>
            </w:r>
          </w:p>
        </w:tc>
        <w:tc>
          <w:tcPr>
            <w:tcW w:w="97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default" w:ascii="Arial" w:hAnsi="Arial" w:eastAsia="仿宋" w:cs="Arial"/>
                <w:color w:val="auto"/>
                <w:sz w:val="24"/>
                <w:szCs w:val="24"/>
                <w:lang w:val="en-US" w:eastAsia="zh-CN"/>
              </w:rPr>
              <w:t>≥</w:t>
            </w:r>
            <w:r>
              <w:rPr>
                <w:rFonts w:hint="eastAsia" w:ascii="仿宋" w:hAnsi="仿宋" w:eastAsia="仿宋" w:cs="仿宋"/>
                <w:color w:val="auto"/>
                <w:sz w:val="24"/>
                <w:szCs w:val="24"/>
                <w:lang w:val="en-US" w:eastAsia="zh-CN"/>
              </w:rPr>
              <w:t>90</w:t>
            </w:r>
          </w:p>
        </w:tc>
        <w:tc>
          <w:tcPr>
            <w:tcW w:w="129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97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jc w:val="center"/>
        </w:trPr>
        <w:tc>
          <w:tcPr>
            <w:tcW w:w="621"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14</w:t>
            </w:r>
          </w:p>
        </w:tc>
        <w:tc>
          <w:tcPr>
            <w:tcW w:w="355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left"/>
              <w:textAlignment w:val="auto"/>
              <w:rPr>
                <w:rFonts w:hint="eastAsia" w:ascii="仿宋" w:hAnsi="仿宋" w:eastAsia="仿宋" w:cs="仿宋"/>
                <w:color w:val="auto"/>
                <w:sz w:val="24"/>
                <w:szCs w:val="24"/>
              </w:rPr>
            </w:pPr>
            <w:r>
              <w:rPr>
                <w:rFonts w:hint="eastAsia" w:ascii="仿宋" w:hAnsi="仿宋" w:eastAsia="仿宋" w:cs="仿宋"/>
                <w:color w:val="auto"/>
                <w:w w:val="90"/>
                <w:sz w:val="24"/>
                <w:szCs w:val="24"/>
              </w:rPr>
              <w:t>劳动年龄人口</w:t>
            </w:r>
            <w:r>
              <w:rPr>
                <w:rFonts w:hint="eastAsia" w:ascii="仿宋" w:hAnsi="仿宋" w:eastAsia="仿宋" w:cs="仿宋"/>
                <w:color w:val="auto"/>
                <w:w w:val="90"/>
                <w:sz w:val="24"/>
                <w:szCs w:val="24"/>
                <w:lang w:eastAsia="zh-CN"/>
              </w:rPr>
              <w:t>人</w:t>
            </w:r>
            <w:r>
              <w:rPr>
                <w:rFonts w:hint="eastAsia" w:ascii="仿宋" w:hAnsi="仿宋" w:eastAsia="仿宋" w:cs="仿宋"/>
                <w:color w:val="auto"/>
                <w:w w:val="90"/>
                <w:sz w:val="24"/>
                <w:szCs w:val="24"/>
              </w:rPr>
              <w:t>均受教育年限（年）</w:t>
            </w:r>
          </w:p>
        </w:tc>
        <w:tc>
          <w:tcPr>
            <w:tcW w:w="11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10.2</w:t>
            </w:r>
          </w:p>
        </w:tc>
        <w:tc>
          <w:tcPr>
            <w:tcW w:w="97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2</w:t>
            </w:r>
          </w:p>
        </w:tc>
        <w:tc>
          <w:tcPr>
            <w:tcW w:w="129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97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jc w:val="center"/>
        </w:trPr>
        <w:tc>
          <w:tcPr>
            <w:tcW w:w="621"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15</w:t>
            </w:r>
          </w:p>
        </w:tc>
        <w:tc>
          <w:tcPr>
            <w:tcW w:w="355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left"/>
              <w:textAlignment w:val="auto"/>
              <w:rPr>
                <w:rFonts w:hint="eastAsia" w:ascii="仿宋" w:hAnsi="仿宋" w:eastAsia="仿宋" w:cs="仿宋"/>
                <w:color w:val="auto"/>
                <w:sz w:val="24"/>
                <w:szCs w:val="24"/>
              </w:rPr>
            </w:pPr>
            <w:r>
              <w:rPr>
                <w:rFonts w:hint="eastAsia" w:ascii="仿宋" w:hAnsi="仿宋" w:eastAsia="仿宋" w:cs="仿宋"/>
                <w:color w:val="auto"/>
                <w:w w:val="90"/>
                <w:sz w:val="24"/>
                <w:szCs w:val="24"/>
              </w:rPr>
              <w:t>新增劳动力受过高等教育比例（%）</w:t>
            </w:r>
          </w:p>
        </w:tc>
        <w:tc>
          <w:tcPr>
            <w:tcW w:w="1104"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97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55</w:t>
            </w:r>
          </w:p>
        </w:tc>
        <w:tc>
          <w:tcPr>
            <w:tcW w:w="1296"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w:t>
            </w:r>
          </w:p>
        </w:tc>
        <w:tc>
          <w:tcPr>
            <w:tcW w:w="972" w:type="dxa"/>
            <w:vAlign w:val="center"/>
          </w:tcPr>
          <w:p>
            <w:pPr>
              <w:pStyle w:val="2"/>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预期性</w:t>
            </w:r>
          </w:p>
        </w:tc>
      </w:tr>
    </w:tbl>
    <w:p>
      <w:pPr>
        <w:pageBreakBefore w:val="0"/>
        <w:kinsoku/>
        <w:wordWrap/>
        <w:topLinePunct w:val="0"/>
        <w:autoSpaceDE/>
        <w:autoSpaceDN/>
        <w:bidi w:val="0"/>
        <w:spacing w:line="600" w:lineRule="exact"/>
        <w:textAlignment w:val="auto"/>
        <w:rPr>
          <w:rFonts w:hint="eastAsia" w:ascii="仿宋" w:hAnsi="仿宋" w:eastAsia="仿宋" w:cs="仿宋"/>
          <w:b w:val="0"/>
          <w:bCs/>
          <w:color w:val="auto"/>
          <w:sz w:val="32"/>
          <w:szCs w:val="32"/>
        </w:rPr>
      </w:pPr>
      <w:r>
        <w:rPr>
          <w:rFonts w:hint="eastAsia" w:ascii="仿宋" w:hAnsi="仿宋" w:eastAsia="仿宋" w:cs="仿宋"/>
          <w:color w:val="auto"/>
          <w:sz w:val="24"/>
          <w:szCs w:val="24"/>
        </w:rPr>
        <w:t>注：</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1 \* GB3 \* MERGEFORMAT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①</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rPr>
        <w:t>〔〕内为5年累计数。</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Start w:id="48" w:name="_Toc16698"/>
      <w:bookmarkStart w:id="49" w:name="_Toc14872"/>
      <w:bookmarkStart w:id="50" w:name="_Toc28249"/>
      <w:bookmarkStart w:id="51" w:name="_Toc6903"/>
      <w:bookmarkStart w:id="52" w:name="_Toc15452"/>
      <w:bookmarkStart w:id="53" w:name="_Toc2122847012"/>
      <w:bookmarkStart w:id="54" w:name="_Toc939770750"/>
      <w:bookmarkStart w:id="55" w:name="_Toc617906098"/>
      <w:bookmarkStart w:id="56" w:name="_Toc912899893"/>
      <w:bookmarkStart w:id="57" w:name="_Toc520179548"/>
      <w:bookmarkStart w:id="58" w:name="_Toc675274404"/>
      <w:bookmarkStart w:id="59" w:name="_Toc498145977"/>
      <w:bookmarkStart w:id="60" w:name="_Toc1525610178"/>
      <w:bookmarkStart w:id="61" w:name="_Toc352944128"/>
      <w:bookmarkStart w:id="62" w:name="_Toc1341557764"/>
      <w:bookmarkStart w:id="63" w:name="_Toc293481446"/>
      <w:bookmarkStart w:id="64" w:name="_Toc1232261357"/>
      <w:bookmarkStart w:id="65" w:name="_Toc1184438436"/>
      <w:bookmarkStart w:id="66" w:name="_Toc668260114"/>
      <w:bookmarkStart w:id="67" w:name="_Toc735378993"/>
      <w:bookmarkStart w:id="68" w:name="_Toc1520040142"/>
      <w:bookmarkStart w:id="69" w:name="_Toc1130773247"/>
    </w:p>
    <w:p>
      <w:pPr>
        <w:pStyle w:val="4"/>
        <w:keepLines w:val="0"/>
        <w:pageBreakBefore w:val="0"/>
        <w:kinsoku/>
        <w:wordWrap/>
        <w:overflowPunct w:val="0"/>
        <w:topLinePunct w:val="0"/>
        <w:autoSpaceDE/>
        <w:autoSpaceDN/>
        <w:bidi w:val="0"/>
        <w:adjustRightInd w:val="0"/>
        <w:snapToGrid w:val="0"/>
        <w:spacing w:before="0" w:after="0"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三、坚持经济发展就业导向</w:t>
      </w:r>
      <w:bookmarkEnd w:id="48"/>
      <w:bookmarkEnd w:id="49"/>
      <w:bookmarkEnd w:id="50"/>
      <w:bookmarkEnd w:id="51"/>
      <w:r>
        <w:rPr>
          <w:rFonts w:hint="eastAsia" w:ascii="黑体" w:hAnsi="黑体" w:eastAsia="黑体" w:cs="黑体"/>
          <w:b w:val="0"/>
          <w:bCs/>
          <w:color w:val="auto"/>
          <w:sz w:val="32"/>
          <w:szCs w:val="32"/>
          <w:lang w:val="en-US" w:eastAsia="zh-CN"/>
        </w:rPr>
        <w:t xml:space="preserve"> </w:t>
      </w:r>
      <w:r>
        <w:rPr>
          <w:rFonts w:hint="eastAsia" w:ascii="黑体" w:hAnsi="黑体" w:eastAsia="黑体" w:cs="黑体"/>
          <w:b w:val="0"/>
          <w:bCs/>
          <w:color w:val="auto"/>
          <w:sz w:val="32"/>
          <w:szCs w:val="32"/>
        </w:rPr>
        <w:t>促进就业扩容提质</w:t>
      </w:r>
      <w:bookmarkEnd w:id="52"/>
    </w:p>
    <w:p>
      <w:pPr>
        <w:pStyle w:val="4"/>
        <w:pageBreakBefore w:val="0"/>
        <w:kinsoku/>
        <w:wordWrap/>
        <w:topLinePunct w:val="0"/>
        <w:autoSpaceDE/>
        <w:autoSpaceDN/>
        <w:bidi w:val="0"/>
        <w:spacing w:before="0" w:after="0" w:line="600" w:lineRule="exact"/>
        <w:ind w:firstLine="640" w:firstLineChars="200"/>
        <w:textAlignment w:val="auto"/>
        <w:rPr>
          <w:rFonts w:hint="eastAsia" w:ascii="仿宋" w:hAnsi="仿宋" w:eastAsia="仿宋" w:cs="仿宋"/>
          <w:b w:val="0"/>
          <w:color w:val="auto"/>
          <w:kern w:val="2"/>
          <w:sz w:val="32"/>
          <w:szCs w:val="32"/>
        </w:rPr>
      </w:pPr>
      <w:r>
        <w:rPr>
          <w:rFonts w:hint="eastAsia" w:ascii="仿宋" w:hAnsi="仿宋" w:eastAsia="仿宋" w:cs="仿宋"/>
          <w:b w:val="0"/>
          <w:color w:val="auto"/>
          <w:kern w:val="2"/>
          <w:sz w:val="32"/>
          <w:szCs w:val="32"/>
        </w:rPr>
        <w:t>落实就业优先战略，强化就业优先政策，推动形成高质量发展与就业扩容提质互促共进的良性循环。</w:t>
      </w:r>
    </w:p>
    <w:p>
      <w:pPr>
        <w:pStyle w:val="16"/>
        <w:pageBreakBefore w:val="0"/>
        <w:kinsoku/>
        <w:wordWrap/>
        <w:overflowPunct w:val="0"/>
        <w:topLinePunct w:val="0"/>
        <w:autoSpaceDE/>
        <w:autoSpaceDN/>
        <w:bidi w:val="0"/>
        <w:adjustRightInd w:val="0"/>
        <w:snapToGrid w:val="0"/>
        <w:spacing w:line="600" w:lineRule="exact"/>
        <w:textAlignment w:val="auto"/>
        <w:rPr>
          <w:rFonts w:hint="eastAsia" w:ascii="仿宋" w:hAnsi="仿宋" w:eastAsia="仿宋" w:cs="仿宋"/>
          <w:color w:val="auto"/>
          <w:sz w:val="32"/>
          <w:szCs w:val="32"/>
        </w:rPr>
      </w:pPr>
      <w:bookmarkStart w:id="70" w:name="_Toc6607"/>
      <w:bookmarkStart w:id="71" w:name="_Toc30825"/>
      <w:bookmarkStart w:id="72" w:name="_Toc23282"/>
      <w:r>
        <w:rPr>
          <w:rFonts w:hint="eastAsia" w:ascii="仿宋" w:hAnsi="仿宋" w:eastAsia="仿宋" w:cs="仿宋"/>
          <w:color w:val="auto"/>
          <w:sz w:val="32"/>
          <w:szCs w:val="32"/>
        </w:rPr>
        <w:t xml:space="preserve">   </w:t>
      </w:r>
      <w:r>
        <w:rPr>
          <w:rFonts w:hint="eastAsia" w:ascii="楷体" w:hAnsi="楷体" w:eastAsia="楷体" w:cs="楷体"/>
          <w:color w:val="auto"/>
          <w:sz w:val="32"/>
          <w:szCs w:val="32"/>
        </w:rPr>
        <w:t xml:space="preserve"> </w:t>
      </w:r>
      <w:r>
        <w:rPr>
          <w:rFonts w:hint="eastAsia" w:ascii="楷体" w:hAnsi="楷体" w:eastAsia="楷体" w:cs="楷体"/>
          <w:bCs/>
          <w:color w:val="auto"/>
          <w:kern w:val="44"/>
          <w:sz w:val="32"/>
          <w:szCs w:val="32"/>
        </w:rPr>
        <w:t>（六）稳定经济增长扩大就业</w:t>
      </w:r>
      <w:r>
        <w:rPr>
          <w:rFonts w:hint="eastAsia" w:ascii="仿宋" w:hAnsi="仿宋" w:eastAsia="仿宋" w:cs="仿宋"/>
          <w:bCs/>
          <w:color w:val="auto"/>
          <w:kern w:val="44"/>
          <w:sz w:val="32"/>
          <w:szCs w:val="32"/>
        </w:rPr>
        <w:t>。</w:t>
      </w:r>
      <w:bookmarkEnd w:id="70"/>
      <w:bookmarkEnd w:id="71"/>
      <w:bookmarkEnd w:id="72"/>
      <w:r>
        <w:rPr>
          <w:rFonts w:hint="eastAsia" w:ascii="仿宋" w:hAnsi="仿宋" w:eastAsia="仿宋" w:cs="仿宋"/>
          <w:color w:val="auto"/>
          <w:sz w:val="32"/>
          <w:szCs w:val="32"/>
        </w:rPr>
        <w:t>强化就业优先政策，把就业作为社会经济发展的优先目标，保持宏观政策连续性稳定性可持续性，加快推进全省经济高质量发展，千方百计稳定和扩大就业，扩大就业容量，提升就业质量，促进充分就业。建立健全经济发展、产业结构调整与扩大就业良性互动的长效机制，探索实施重大产业就业影响评估，明确重要产业规划带动就业目标，实施省级重点项目投产达效与促进就业精准对接，优先投资就业带动能力强、有利于农村劳动力就地就近就业和高校毕业生就业的产业。</w:t>
      </w:r>
      <w:bookmarkStart w:id="73" w:name="_Toc32460"/>
      <w:bookmarkStart w:id="74" w:name="_Toc24165"/>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rPr>
      </w:pPr>
      <w:bookmarkStart w:id="75" w:name="_Toc14122"/>
      <w:r>
        <w:rPr>
          <w:rFonts w:hint="eastAsia" w:ascii="楷体" w:hAnsi="楷体" w:eastAsia="楷体" w:cs="楷体"/>
          <w:color w:val="auto"/>
          <w:kern w:val="2"/>
          <w:sz w:val="32"/>
          <w:szCs w:val="32"/>
          <w:u w:color="000000"/>
          <w:lang w:val="en-US" w:eastAsia="zh-CN" w:bidi="ar-SA"/>
        </w:rPr>
        <w:t>（七）促进制造业高质量就业</w:t>
      </w:r>
      <w:r>
        <w:rPr>
          <w:rFonts w:hint="eastAsia" w:ascii="仿宋" w:hAnsi="仿宋" w:eastAsia="仿宋" w:cs="仿宋"/>
          <w:bCs/>
          <w:color w:val="auto"/>
          <w:kern w:val="44"/>
          <w:sz w:val="32"/>
          <w:szCs w:val="32"/>
          <w:u w:color="000000"/>
        </w:rPr>
        <w:t>。</w:t>
      </w:r>
      <w:bookmarkEnd w:id="73"/>
      <w:bookmarkEnd w:id="74"/>
      <w:bookmarkEnd w:id="75"/>
      <w:r>
        <w:rPr>
          <w:rFonts w:hint="eastAsia" w:ascii="仿宋" w:hAnsi="仿宋" w:eastAsia="仿宋" w:cs="仿宋"/>
          <w:color w:val="auto"/>
          <w:sz w:val="32"/>
          <w:szCs w:val="32"/>
        </w:rPr>
        <w:t>围绕全力打造世界一流的</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绿色能源</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绿色食品</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健康生活目的地</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三张牌，加快先进制造业等实体经济发展，全面推进新一轮技术改造升级，促进重点传统产业高端化、智能化、绿色化。</w:t>
      </w:r>
      <w:r>
        <w:rPr>
          <w:rFonts w:hint="eastAsia" w:ascii="仿宋" w:hAnsi="仿宋" w:eastAsia="仿宋" w:cs="仿宋"/>
          <w:color w:val="auto"/>
          <w:sz w:val="32"/>
          <w:szCs w:val="32"/>
          <w:lang w:val="zh-CN"/>
        </w:rPr>
        <w:t>实施制造业降本减负行动，</w:t>
      </w:r>
      <w:r>
        <w:rPr>
          <w:rFonts w:hint="eastAsia" w:ascii="仿宋" w:hAnsi="仿宋" w:eastAsia="仿宋" w:cs="仿宋"/>
          <w:color w:val="auto"/>
          <w:sz w:val="32"/>
          <w:szCs w:val="32"/>
        </w:rPr>
        <w:t>引导金融机构扩大制造业中长期融资，提升制造业盈利能力，提高从业人员收入水平，增强制造业就业吸引力，缓解制造业“招工难”问题。推进制造业高质量发展和职业技能培训深度融合，促进制造业产业链、创新链与培训链有效衔接。支持吸纳就业能力强的劳动密集型行业发展。注重发展技能密集型产业，推动传统制造业转型升级赋能、延伸产业链条，开发更多制造业领域技能型就业岗位。推动先进制造业集群发展，打造更多制造业就业增长点。</w:t>
      </w:r>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rPr>
      </w:pPr>
      <w:r>
        <w:rPr>
          <w:rFonts w:hint="eastAsia" w:ascii="楷体" w:hAnsi="楷体" w:eastAsia="楷体" w:cs="楷体"/>
          <w:color w:val="auto"/>
          <w:kern w:val="2"/>
          <w:sz w:val="32"/>
          <w:szCs w:val="32"/>
          <w:u w:color="000000"/>
          <w:lang w:val="en-US" w:eastAsia="zh-CN" w:bidi="ar-SA"/>
        </w:rPr>
        <w:t>（八）持续扩大服务业就业</w:t>
      </w:r>
      <w:r>
        <w:rPr>
          <w:rFonts w:hint="eastAsia" w:ascii="仿宋" w:hAnsi="仿宋" w:eastAsia="仿宋" w:cs="仿宋"/>
          <w:bCs/>
          <w:color w:val="auto"/>
          <w:kern w:val="44"/>
          <w:sz w:val="32"/>
          <w:szCs w:val="32"/>
          <w:u w:color="000000"/>
        </w:rPr>
        <w:t>。</w:t>
      </w:r>
      <w:r>
        <w:rPr>
          <w:rFonts w:hint="eastAsia" w:ascii="仿宋" w:hAnsi="仿宋" w:eastAsia="仿宋" w:cs="仿宋"/>
          <w:color w:val="auto"/>
          <w:sz w:val="32"/>
          <w:szCs w:val="32"/>
        </w:rPr>
        <w:t>聚焦产业转型升级和消费升级需要，构建优质高效、结构优化、竞争力强的服务产业新体系，为劳动者就业提供更大空间和更多选择。进一步放宽服务业市场准入，深入推进服务业扩大开放，促进服务业数字化转型、线上线下双向发展，推动现代服务业同先进制造业、</w:t>
      </w:r>
      <w:r>
        <w:rPr>
          <w:rFonts w:hint="eastAsia" w:ascii="仿宋" w:hAnsi="仿宋" w:eastAsia="仿宋" w:cs="仿宋"/>
          <w:color w:val="auto"/>
          <w:sz w:val="32"/>
          <w:szCs w:val="32"/>
          <w:lang w:eastAsia="zh-CN"/>
        </w:rPr>
        <w:t>高原特色</w:t>
      </w:r>
      <w:r>
        <w:rPr>
          <w:rFonts w:hint="eastAsia" w:ascii="仿宋" w:hAnsi="仿宋" w:eastAsia="仿宋" w:cs="仿宋"/>
          <w:color w:val="auto"/>
          <w:sz w:val="32"/>
          <w:szCs w:val="32"/>
        </w:rPr>
        <w:t>农业深度融合，支持生产性服务业和服务外包创新发展，加快生活服务业高品质和多样化升级，鼓励商贸流通和消费服务业态与模式创新，引导夜间经济、便民生活圈等健康发展，稳定开发社区超市、便利店、社区服务和社会工作服务岗位，充分释放服务业就业容量大的优势。</w:t>
      </w:r>
    </w:p>
    <w:p>
      <w:pPr>
        <w:pStyle w:val="16"/>
        <w:pageBreakBefore w:val="0"/>
        <w:kinsoku/>
        <w:wordWrap/>
        <w:overflowPunct w:val="0"/>
        <w:topLinePunct w:val="0"/>
        <w:autoSpaceDE/>
        <w:autoSpaceDN/>
        <w:bidi w:val="0"/>
        <w:adjustRightInd w:val="0"/>
        <w:snapToGrid w:val="0"/>
        <w:spacing w:line="600" w:lineRule="exact"/>
        <w:ind w:firstLine="640" w:firstLineChars="200"/>
        <w:textAlignment w:val="auto"/>
        <w:rPr>
          <w:rFonts w:hint="eastAsia" w:ascii="仿宋" w:hAnsi="仿宋" w:eastAsia="仿宋" w:cs="仿宋"/>
          <w:color w:val="auto"/>
          <w:sz w:val="32"/>
          <w:szCs w:val="32"/>
        </w:rPr>
      </w:pPr>
      <w:r>
        <w:rPr>
          <w:rFonts w:hint="eastAsia" w:ascii="楷体" w:hAnsi="楷体" w:eastAsia="楷体" w:cs="楷体"/>
          <w:color w:val="auto"/>
          <w:kern w:val="2"/>
          <w:sz w:val="32"/>
          <w:szCs w:val="32"/>
          <w:u w:color="000000"/>
          <w:lang w:val="en-US" w:eastAsia="zh-CN" w:bidi="ar-SA"/>
        </w:rPr>
        <w:t>（九）拓展农业就业空间</w:t>
      </w:r>
      <w:r>
        <w:rPr>
          <w:rFonts w:hint="eastAsia" w:ascii="仿宋" w:hAnsi="仿宋" w:eastAsia="仿宋" w:cs="仿宋"/>
          <w:bCs/>
          <w:color w:val="auto"/>
          <w:kern w:val="44"/>
          <w:sz w:val="32"/>
          <w:szCs w:val="32"/>
        </w:rPr>
        <w:t>。</w:t>
      </w:r>
      <w:r>
        <w:rPr>
          <w:rFonts w:hint="eastAsia" w:ascii="仿宋" w:hAnsi="仿宋" w:eastAsia="仿宋" w:cs="仿宋"/>
          <w:color w:val="auto"/>
          <w:sz w:val="32"/>
          <w:szCs w:val="32"/>
        </w:rPr>
        <w:t>深化农业供给侧结构性改革，加快推动农村一二三产业融合发展，加强现代农业产业园和农业现代化示范区建设，打造农业全产业链，提升农业价值链，吸纳带动更多就业。实施农民合作社规范提升行动、家庭农场培育计划和高素质农民培育计划，推动小农户与现代农业发展有机衔接，扶持一批农业产业化龙头企业牵头、家庭农场和农民合作社跟进、广大小农户参与的农业产业化联合体，实现抱团发展，促进农民就业增收。拓宽农村电子商务、乡村休闲旅游、农业生产性服务业等新产业新业态促进就业空间，吸纳更多农村劳动力就业。</w:t>
      </w:r>
    </w:p>
    <w:p>
      <w:pPr>
        <w:pStyle w:val="16"/>
        <w:pageBreakBefore w:val="0"/>
        <w:kinsoku/>
        <w:wordWrap/>
        <w:overflowPunct w:val="0"/>
        <w:topLinePunct w:val="0"/>
        <w:autoSpaceDE/>
        <w:autoSpaceDN/>
        <w:bidi w:val="0"/>
        <w:adjustRightInd w:val="0"/>
        <w:snapToGrid w:val="0"/>
        <w:spacing w:line="600" w:lineRule="exact"/>
        <w:ind w:firstLine="640" w:firstLineChars="200"/>
        <w:textAlignment w:val="auto"/>
        <w:rPr>
          <w:rFonts w:hint="eastAsia" w:ascii="仿宋" w:hAnsi="仿宋" w:eastAsia="仿宋" w:cs="仿宋"/>
          <w:color w:val="auto"/>
          <w:sz w:val="32"/>
          <w:szCs w:val="32"/>
        </w:rPr>
      </w:pPr>
      <w:bookmarkStart w:id="76" w:name="_Toc1017"/>
      <w:bookmarkStart w:id="77" w:name="_Toc16521"/>
      <w:bookmarkStart w:id="78" w:name="_Toc23956"/>
      <w:r>
        <w:rPr>
          <w:rFonts w:hint="eastAsia" w:ascii="楷体" w:hAnsi="楷体" w:eastAsia="楷体" w:cs="楷体"/>
          <w:color w:val="auto"/>
          <w:kern w:val="2"/>
          <w:sz w:val="32"/>
          <w:szCs w:val="32"/>
          <w:u w:color="000000"/>
          <w:lang w:val="en-US" w:eastAsia="zh-CN" w:bidi="ar-SA"/>
        </w:rPr>
        <w:t>（十）壮大市场主体吸纳就业</w:t>
      </w:r>
      <w:r>
        <w:rPr>
          <w:rFonts w:hint="eastAsia" w:ascii="仿宋" w:hAnsi="仿宋" w:eastAsia="仿宋" w:cs="仿宋"/>
          <w:bCs/>
          <w:color w:val="auto"/>
          <w:kern w:val="44"/>
          <w:sz w:val="32"/>
          <w:szCs w:val="32"/>
        </w:rPr>
        <w:t>。</w:t>
      </w:r>
      <w:bookmarkEnd w:id="76"/>
      <w:bookmarkEnd w:id="77"/>
      <w:bookmarkEnd w:id="78"/>
      <w:r>
        <w:rPr>
          <w:rFonts w:hint="eastAsia" w:ascii="仿宋" w:hAnsi="仿宋" w:eastAsia="仿宋" w:cs="仿宋"/>
          <w:color w:val="auto"/>
          <w:sz w:val="32"/>
          <w:szCs w:val="32"/>
        </w:rPr>
        <w:t>巩固提升中小微企业吸纳就业“主力军”作用，大力实施市场主体倍增计划，加强社会化服务体系建设，推动中小微企业加快发展增加就业。加大政策支持力度，全面落实减负、援企、稳岗、扩就业政策，着力为中小微企业纾困解难，对不裁员少裁员的企业继续给予失业保险稳岗返还，加大中小微企业财税、金融等政策支持，</w:t>
      </w:r>
      <w:r>
        <w:rPr>
          <w:rFonts w:hint="eastAsia" w:ascii="仿宋" w:hAnsi="仿宋" w:eastAsia="仿宋" w:cs="仿宋"/>
          <w:color w:val="auto"/>
          <w:sz w:val="32"/>
          <w:szCs w:val="32"/>
          <w:lang w:eastAsia="zh-CN"/>
        </w:rPr>
        <w:t>不断清理规范行政事业性收费、经营服务性收费行为，持续减轻</w:t>
      </w:r>
      <w:r>
        <w:rPr>
          <w:rFonts w:hint="eastAsia" w:ascii="仿宋" w:hAnsi="仿宋" w:eastAsia="仿宋" w:cs="仿宋"/>
          <w:color w:val="auto"/>
          <w:sz w:val="32"/>
          <w:szCs w:val="32"/>
        </w:rPr>
        <w:t>中小微</w:t>
      </w:r>
      <w:r>
        <w:rPr>
          <w:rFonts w:hint="eastAsia" w:ascii="仿宋" w:hAnsi="仿宋" w:eastAsia="仿宋" w:cs="仿宋"/>
          <w:color w:val="auto"/>
          <w:sz w:val="32"/>
          <w:szCs w:val="32"/>
          <w:lang w:eastAsia="zh-CN"/>
        </w:rPr>
        <w:t>企业负担。</w:t>
      </w:r>
      <w:r>
        <w:rPr>
          <w:rFonts w:hint="eastAsia" w:ascii="仿宋" w:hAnsi="仿宋" w:eastAsia="仿宋" w:cs="仿宋"/>
          <w:color w:val="auto"/>
          <w:sz w:val="32"/>
          <w:szCs w:val="32"/>
        </w:rPr>
        <w:t>引导</w:t>
      </w:r>
      <w:r>
        <w:rPr>
          <w:rFonts w:hint="eastAsia" w:ascii="仿宋" w:hAnsi="仿宋" w:eastAsia="仿宋" w:cs="仿宋"/>
          <w:color w:val="auto"/>
          <w:sz w:val="32"/>
          <w:szCs w:val="32"/>
          <w:lang w:eastAsia="zh-CN"/>
        </w:rPr>
        <w:t>中</w:t>
      </w:r>
      <w:r>
        <w:rPr>
          <w:rFonts w:hint="eastAsia" w:ascii="仿宋" w:hAnsi="仿宋" w:eastAsia="仿宋" w:cs="仿宋"/>
          <w:color w:val="auto"/>
          <w:sz w:val="32"/>
          <w:szCs w:val="32"/>
        </w:rPr>
        <w:t>小微企业走专业化、精细化、特色化、新颖化发展之路，加大奖励支持力度，不断提高“专精特新”企业的数量和比重，增强中小微企业的整体素质。营造更优的营商环境，更好地激发市场主体活力。</w:t>
      </w:r>
    </w:p>
    <w:tbl>
      <w:tblPr>
        <w:tblStyle w:val="12"/>
        <w:tblW w:w="9072" w:type="dxa"/>
        <w:jc w:val="center"/>
        <w:tblInd w:w="0" w:type="dxa"/>
        <w:tblLayout w:type="fixed"/>
        <w:tblCellMar>
          <w:top w:w="0" w:type="dxa"/>
          <w:left w:w="0" w:type="dxa"/>
          <w:bottom w:w="0" w:type="dxa"/>
          <w:right w:w="0" w:type="dxa"/>
        </w:tblCellMar>
      </w:tblPr>
      <w:tblGrid>
        <w:gridCol w:w="9072"/>
      </w:tblGrid>
      <w:tr>
        <w:tblPrEx>
          <w:tblLayout w:type="fixed"/>
          <w:tblCellMar>
            <w:top w:w="0" w:type="dxa"/>
            <w:left w:w="0" w:type="dxa"/>
            <w:bottom w:w="0" w:type="dxa"/>
            <w:right w:w="0" w:type="dxa"/>
          </w:tblCellMar>
        </w:tblPrEx>
        <w:trPr>
          <w:trHeight w:val="90" w:hRule="atLeast"/>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color w:val="auto"/>
                <w:kern w:val="0"/>
                <w:sz w:val="28"/>
                <w:szCs w:val="28"/>
              </w:rPr>
            </w:pPr>
            <w:r>
              <w:rPr>
                <w:rFonts w:hint="eastAsia" w:ascii="仿宋" w:hAnsi="仿宋" w:eastAsia="仿宋" w:cs="仿宋"/>
                <w:b/>
                <w:color w:val="auto"/>
                <w:kern w:val="0"/>
                <w:sz w:val="28"/>
                <w:szCs w:val="28"/>
              </w:rPr>
              <w:t>专栏</w:t>
            </w:r>
            <w:r>
              <w:rPr>
                <w:rFonts w:hint="eastAsia" w:ascii="仿宋" w:hAnsi="仿宋" w:eastAsia="仿宋" w:cs="仿宋"/>
                <w:b/>
                <w:color w:val="auto"/>
                <w:kern w:val="0"/>
                <w:sz w:val="28"/>
                <w:szCs w:val="28"/>
                <w:lang w:val="en-US" w:eastAsia="zh-CN"/>
              </w:rPr>
              <w:t>3</w:t>
            </w:r>
            <w:r>
              <w:rPr>
                <w:rFonts w:hint="eastAsia" w:ascii="仿宋" w:hAnsi="仿宋" w:eastAsia="仿宋" w:cs="仿宋"/>
                <w:b/>
                <w:color w:val="auto"/>
                <w:kern w:val="0"/>
                <w:sz w:val="28"/>
                <w:szCs w:val="28"/>
              </w:rPr>
              <w:t>：实施</w:t>
            </w:r>
            <w:r>
              <w:rPr>
                <w:rFonts w:hint="eastAsia" w:ascii="仿宋" w:hAnsi="仿宋" w:eastAsia="仿宋" w:cs="仿宋"/>
                <w:b/>
                <w:color w:val="auto"/>
                <w:sz w:val="28"/>
                <w:szCs w:val="28"/>
                <w:lang w:eastAsia="zh-CN"/>
              </w:rPr>
              <w:t>阶段性降低失业保险费率和援企稳岗</w:t>
            </w:r>
            <w:r>
              <w:rPr>
                <w:rFonts w:hint="eastAsia" w:ascii="仿宋" w:hAnsi="仿宋" w:eastAsia="仿宋" w:cs="仿宋"/>
                <w:b/>
                <w:color w:val="auto"/>
                <w:sz w:val="28"/>
                <w:szCs w:val="28"/>
              </w:rPr>
              <w:t>计划</w:t>
            </w:r>
          </w:p>
        </w:tc>
      </w:tr>
      <w:tr>
        <w:tblPrEx>
          <w:tblLayout w:type="fixed"/>
          <w:tblCellMar>
            <w:top w:w="0" w:type="dxa"/>
            <w:left w:w="0" w:type="dxa"/>
            <w:bottom w:w="0" w:type="dxa"/>
            <w:right w:w="0" w:type="dxa"/>
          </w:tblCellMar>
        </w:tblPrEx>
        <w:trPr>
          <w:jc w:val="center"/>
        </w:trPr>
        <w:tc>
          <w:tcPr>
            <w:tcW w:w="9072"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pStyle w:val="2"/>
              <w:keepNext w:val="0"/>
              <w:keepLines w:val="0"/>
              <w:pageBreakBefore w:val="0"/>
              <w:numPr>
                <w:ilvl w:val="0"/>
                <w:numId w:val="0"/>
              </w:numPr>
              <w:kinsoku/>
              <w:wordWrap/>
              <w:overflowPunct/>
              <w:topLinePunct w:val="0"/>
              <w:autoSpaceDE/>
              <w:autoSpaceDN/>
              <w:bidi w:val="0"/>
              <w:adjustRightInd/>
              <w:snapToGrid/>
              <w:spacing w:after="0" w:line="400" w:lineRule="exact"/>
              <w:ind w:firstLine="482" w:firstLineChars="20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color w:val="auto"/>
                <w:kern w:val="0"/>
                <w:sz w:val="24"/>
                <w:szCs w:val="24"/>
                <w:lang w:val="en-US" w:eastAsia="zh-CN"/>
              </w:rPr>
              <w:t>1.</w:t>
            </w:r>
            <w:r>
              <w:rPr>
                <w:rFonts w:hint="eastAsia" w:ascii="仿宋" w:hAnsi="仿宋" w:eastAsia="仿宋" w:cs="仿宋"/>
                <w:b/>
                <w:color w:val="auto"/>
                <w:kern w:val="0"/>
                <w:sz w:val="24"/>
                <w:szCs w:val="24"/>
                <w:lang w:eastAsia="zh-CN"/>
              </w:rPr>
              <w:t>继续实施阶段性降低失业保险费率和援企稳岗政策。</w:t>
            </w:r>
            <w:r>
              <w:rPr>
                <w:rFonts w:hint="eastAsia" w:ascii="仿宋" w:hAnsi="仿宋" w:eastAsia="仿宋" w:cs="仿宋"/>
                <w:b w:val="0"/>
                <w:bCs/>
                <w:color w:val="auto"/>
                <w:kern w:val="0"/>
                <w:sz w:val="24"/>
                <w:szCs w:val="24"/>
                <w:lang w:eastAsia="zh-CN"/>
              </w:rPr>
              <w:t>根据国家政策规定，</w:t>
            </w:r>
            <w:r>
              <w:rPr>
                <w:rFonts w:hint="eastAsia" w:ascii="仿宋" w:hAnsi="仿宋" w:eastAsia="仿宋" w:cs="仿宋"/>
                <w:b w:val="0"/>
                <w:bCs/>
                <w:color w:val="auto"/>
                <w:kern w:val="0"/>
                <w:sz w:val="24"/>
                <w:szCs w:val="24"/>
              </w:rPr>
              <w:t>对不裁员少裁员的企业</w:t>
            </w:r>
            <w:r>
              <w:rPr>
                <w:rFonts w:hint="eastAsia" w:ascii="仿宋" w:hAnsi="仿宋" w:eastAsia="仿宋" w:cs="仿宋"/>
                <w:b w:val="0"/>
                <w:bCs/>
                <w:color w:val="auto"/>
                <w:kern w:val="0"/>
                <w:sz w:val="24"/>
                <w:szCs w:val="24"/>
                <w:lang w:eastAsia="zh-CN"/>
              </w:rPr>
              <w:t>按规定</w:t>
            </w:r>
            <w:r>
              <w:rPr>
                <w:rFonts w:hint="eastAsia" w:ascii="仿宋" w:hAnsi="仿宋" w:eastAsia="仿宋" w:cs="仿宋"/>
                <w:b w:val="0"/>
                <w:bCs/>
                <w:color w:val="auto"/>
                <w:kern w:val="0"/>
                <w:sz w:val="24"/>
                <w:szCs w:val="24"/>
              </w:rPr>
              <w:t>继续给予失业保险稳岗返还，</w:t>
            </w:r>
            <w:r>
              <w:rPr>
                <w:rFonts w:hint="eastAsia" w:ascii="仿宋" w:hAnsi="仿宋" w:eastAsia="仿宋" w:cs="仿宋"/>
                <w:b w:val="0"/>
                <w:bCs/>
                <w:color w:val="auto"/>
                <w:kern w:val="0"/>
                <w:sz w:val="24"/>
                <w:szCs w:val="24"/>
                <w:lang w:eastAsia="zh-CN"/>
              </w:rPr>
              <w:t>实现“免申即享”。</w:t>
            </w:r>
          </w:p>
          <w:p>
            <w:pPr>
              <w:pStyle w:val="2"/>
              <w:keepNext w:val="0"/>
              <w:keepLines w:val="0"/>
              <w:pageBreakBefore w:val="0"/>
              <w:kinsoku/>
              <w:wordWrap/>
              <w:overflowPunct/>
              <w:topLinePunct w:val="0"/>
              <w:autoSpaceDE/>
              <w:autoSpaceDN/>
              <w:bidi w:val="0"/>
              <w:adjustRightInd/>
              <w:snapToGrid/>
              <w:spacing w:after="0" w:line="400" w:lineRule="exact"/>
              <w:ind w:firstLine="482" w:firstLineChars="20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bCs w:val="0"/>
                <w:color w:val="auto"/>
                <w:kern w:val="0"/>
                <w:sz w:val="24"/>
                <w:szCs w:val="24"/>
                <w:lang w:val="en-US" w:eastAsia="zh-CN"/>
              </w:rPr>
              <w:t>2.继续实施“展翅行动”。</w:t>
            </w:r>
            <w:r>
              <w:rPr>
                <w:rFonts w:hint="eastAsia" w:ascii="仿宋" w:hAnsi="仿宋" w:eastAsia="仿宋" w:cs="仿宋"/>
                <w:b w:val="0"/>
                <w:bCs/>
                <w:color w:val="auto"/>
                <w:kern w:val="0"/>
                <w:sz w:val="24"/>
                <w:szCs w:val="24"/>
                <w:lang w:val="en-US" w:eastAsia="zh-CN"/>
              </w:rPr>
              <w:t>对符合条件的失业保险参保职工继续实施职业技能提升行动，做到“</w:t>
            </w:r>
            <w:r>
              <w:rPr>
                <w:rFonts w:hint="eastAsia" w:ascii="仿宋" w:hAnsi="仿宋" w:eastAsia="仿宋" w:cs="仿宋"/>
                <w:b w:val="0"/>
                <w:bCs/>
                <w:color w:val="auto"/>
                <w:kern w:val="0"/>
                <w:sz w:val="24"/>
                <w:szCs w:val="24"/>
                <w:lang w:eastAsia="zh-CN"/>
              </w:rPr>
              <w:t>免</w:t>
            </w:r>
            <w:r>
              <w:rPr>
                <w:rFonts w:hint="eastAsia" w:ascii="仿宋" w:hAnsi="仿宋" w:eastAsia="仿宋" w:cs="仿宋"/>
                <w:b w:val="0"/>
                <w:bCs/>
                <w:color w:val="auto"/>
                <w:kern w:val="0"/>
                <w:sz w:val="24"/>
                <w:szCs w:val="24"/>
                <w:lang w:val="en-US" w:eastAsia="zh-CN"/>
              </w:rPr>
              <w:t>证即办”，增加企业职工技能储备，促进企业健康发展，实现职工更加稳定就业。</w:t>
            </w:r>
          </w:p>
          <w:p>
            <w:pPr>
              <w:pStyle w:val="2"/>
              <w:keepNext w:val="0"/>
              <w:keepLines w:val="0"/>
              <w:pageBreakBefore w:val="0"/>
              <w:kinsoku/>
              <w:wordWrap/>
              <w:overflowPunct/>
              <w:topLinePunct w:val="0"/>
              <w:autoSpaceDE/>
              <w:autoSpaceDN/>
              <w:bidi w:val="0"/>
              <w:adjustRightInd/>
              <w:snapToGrid/>
              <w:spacing w:after="0" w:line="400" w:lineRule="exact"/>
              <w:ind w:firstLine="482" w:firstLineChars="200"/>
              <w:textAlignment w:val="auto"/>
              <w:rPr>
                <w:rFonts w:hint="eastAsia" w:ascii="仿宋" w:hAnsi="仿宋" w:eastAsia="仿宋" w:cs="仿宋"/>
                <w:b w:val="0"/>
                <w:bCs/>
                <w:color w:val="auto"/>
                <w:kern w:val="0"/>
                <w:szCs w:val="21"/>
                <w:lang w:val="en-US" w:eastAsia="zh-CN"/>
              </w:rPr>
            </w:pPr>
            <w:r>
              <w:rPr>
                <w:rFonts w:hint="eastAsia" w:ascii="仿宋" w:hAnsi="仿宋" w:eastAsia="仿宋" w:cs="仿宋"/>
                <w:b/>
                <w:bCs w:val="0"/>
                <w:color w:val="auto"/>
                <w:kern w:val="0"/>
                <w:sz w:val="24"/>
                <w:szCs w:val="24"/>
                <w:lang w:val="en-US" w:eastAsia="zh-CN"/>
              </w:rPr>
              <w:t>3.加强企业人社服务专员队伍建设</w:t>
            </w:r>
            <w:r>
              <w:rPr>
                <w:rFonts w:hint="eastAsia" w:ascii="仿宋" w:hAnsi="仿宋" w:eastAsia="仿宋" w:cs="仿宋"/>
                <w:b w:val="0"/>
                <w:bCs/>
                <w:color w:val="auto"/>
                <w:kern w:val="0"/>
                <w:sz w:val="24"/>
                <w:szCs w:val="24"/>
              </w:rPr>
              <w:t>。</w:t>
            </w:r>
            <w:r>
              <w:rPr>
                <w:rFonts w:hint="eastAsia" w:ascii="仿宋" w:hAnsi="仿宋" w:eastAsia="仿宋" w:cs="仿宋"/>
                <w:b w:val="0"/>
                <w:bCs/>
                <w:color w:val="auto"/>
                <w:kern w:val="0"/>
                <w:sz w:val="24"/>
                <w:szCs w:val="24"/>
                <w:lang w:eastAsia="zh-CN"/>
              </w:rPr>
              <w:t>完善</w:t>
            </w:r>
            <w:r>
              <w:rPr>
                <w:rFonts w:hint="eastAsia" w:ascii="仿宋" w:hAnsi="仿宋" w:eastAsia="仿宋" w:cs="仿宋"/>
                <w:b w:val="0"/>
                <w:bCs/>
                <w:color w:val="auto"/>
                <w:kern w:val="0"/>
                <w:sz w:val="24"/>
                <w:szCs w:val="24"/>
              </w:rPr>
              <w:t>企业人社服务专员队伍，</w:t>
            </w:r>
            <w:r>
              <w:rPr>
                <w:rFonts w:hint="eastAsia" w:ascii="仿宋" w:hAnsi="仿宋" w:eastAsia="仿宋" w:cs="仿宋"/>
                <w:b w:val="0"/>
                <w:bCs/>
                <w:color w:val="auto"/>
                <w:kern w:val="0"/>
                <w:sz w:val="24"/>
                <w:szCs w:val="24"/>
                <w:lang w:eastAsia="zh-CN"/>
              </w:rPr>
              <w:t>对规上企业</w:t>
            </w:r>
            <w:r>
              <w:rPr>
                <w:rFonts w:hint="eastAsia" w:ascii="仿宋" w:hAnsi="仿宋" w:eastAsia="仿宋" w:cs="仿宋"/>
                <w:b w:val="0"/>
                <w:bCs/>
                <w:color w:val="auto"/>
                <w:kern w:val="0"/>
                <w:sz w:val="24"/>
                <w:szCs w:val="24"/>
              </w:rPr>
              <w:t>点对点开展上门服务，为企业提供政策宣传、招聘招工、兑现补贴等服务。</w:t>
            </w:r>
          </w:p>
        </w:tc>
      </w:tr>
    </w:tbl>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楷体" w:hAnsi="楷体" w:eastAsia="楷体" w:cs="楷体"/>
          <w:color w:val="auto"/>
          <w:kern w:val="2"/>
          <w:sz w:val="32"/>
          <w:szCs w:val="32"/>
          <w:u w:color="000000"/>
          <w:lang w:val="en-US" w:eastAsia="zh-CN" w:bidi="ar-SA"/>
        </w:rPr>
        <w:t>（十一）促进数字经济领域就业创业</w:t>
      </w:r>
      <w:r>
        <w:rPr>
          <w:rFonts w:hint="eastAsia" w:ascii="仿宋" w:hAnsi="仿宋" w:eastAsia="仿宋" w:cs="仿宋"/>
          <w:bCs/>
          <w:color w:val="auto"/>
          <w:kern w:val="44"/>
          <w:sz w:val="32"/>
          <w:szCs w:val="32"/>
          <w:u w:color="000000"/>
        </w:rPr>
        <w:t>。</w:t>
      </w:r>
      <w:r>
        <w:rPr>
          <w:rFonts w:hint="eastAsia" w:ascii="仿宋" w:hAnsi="仿宋" w:eastAsia="仿宋" w:cs="仿宋"/>
          <w:color w:val="auto"/>
          <w:sz w:val="32"/>
          <w:szCs w:val="32"/>
          <w:u w:color="000000"/>
        </w:rPr>
        <w:t>加快发展数字经济，推动数字经济和实体经济深度融合，催生更多新产业新业态新模式，培育多元化多层次就业需求。健全数字规则，强化数据有序共享和信息安全保护，加快推动数字产业化，打造具有国际竞争力、就业容量大的数字产业集群。深入实施“上云用数赋智”和“数字云南”行动，推进传统线下业态数字化转型赋能，创造更多数字经济领域就业机会。促进平台经济规范健康发展，带动更多劳动者依托平台就业创业。</w:t>
      </w:r>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楷体" w:hAnsi="楷体" w:eastAsia="楷体" w:cs="楷体"/>
          <w:color w:val="auto"/>
          <w:kern w:val="2"/>
          <w:sz w:val="32"/>
          <w:szCs w:val="32"/>
          <w:u w:color="000000"/>
          <w:lang w:val="en-US" w:eastAsia="zh-CN" w:bidi="ar-SA"/>
        </w:rPr>
        <w:t>（十二）</w:t>
      </w:r>
      <w:bookmarkStart w:id="79" w:name="_Toc2464"/>
      <w:bookmarkStart w:id="80" w:name="_Toc4589"/>
      <w:bookmarkStart w:id="81" w:name="_Toc2047"/>
      <w:r>
        <w:rPr>
          <w:rFonts w:hint="eastAsia" w:ascii="楷体" w:hAnsi="楷体" w:eastAsia="楷体" w:cs="楷体"/>
          <w:color w:val="auto"/>
          <w:kern w:val="2"/>
          <w:sz w:val="32"/>
          <w:szCs w:val="32"/>
          <w:u w:color="000000"/>
          <w:lang w:val="en-US" w:eastAsia="zh-CN" w:bidi="ar-SA"/>
        </w:rPr>
        <w:t>支持鼓励多渠道灵活就业和新就业形态发展</w:t>
      </w:r>
      <w:r>
        <w:rPr>
          <w:rFonts w:hint="eastAsia" w:ascii="仿宋" w:hAnsi="仿宋" w:eastAsia="仿宋" w:cs="仿宋"/>
          <w:bCs/>
          <w:color w:val="auto"/>
          <w:kern w:val="44"/>
          <w:sz w:val="32"/>
          <w:szCs w:val="32"/>
          <w:u w:color="000000"/>
        </w:rPr>
        <w:t>。</w:t>
      </w:r>
      <w:bookmarkEnd w:id="79"/>
      <w:bookmarkEnd w:id="80"/>
      <w:bookmarkEnd w:id="81"/>
      <w:r>
        <w:rPr>
          <w:rFonts w:hint="eastAsia" w:ascii="仿宋" w:hAnsi="仿宋" w:eastAsia="仿宋" w:cs="仿宋"/>
          <w:color w:val="auto"/>
          <w:sz w:val="32"/>
          <w:szCs w:val="32"/>
          <w:u w:color="000000"/>
        </w:rPr>
        <w:t>促进个体经营发展，推动社区、批发市场、现代商圈、特色街区等各类小店集聚区建设，支持灵活就业人员开办小微实体；扩大非全日制就业，促进保洁绿化、批发零售、家政服务、建筑装修等行业提质扩容；支持新业态新模式发展促进数字经济、平台经济健康发展，加快推动网络零售、移动出行、线上教育培训、互联网医疗、在线娱乐等行业发展，为劳动者平台就业、居家就业、远程办公、兼职就业创造条件。把灵活就业岗位供求信息纳入公共就业服务范围，免费发布供求信息，按需组织专场招聘。鼓励人力资源服务机构发布短工、零工、兼职等需求信息，鼓励有条件的城市在零工聚集地设置零工市场。对符合条件的灵活就业人员给予社保补贴，为灵活就业人员在就业地参加社会保险提供便捷服务。</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Fonts w:hint="eastAsia" w:ascii="仿宋" w:hAnsi="仿宋" w:eastAsia="仿宋" w:cs="仿宋"/>
          <w:color w:val="auto"/>
          <w:sz w:val="32"/>
          <w:szCs w:val="32"/>
          <w:highlight w:val="none"/>
          <w:u w:color="000000"/>
          <w:lang w:eastAsia="zh-CN"/>
        </w:rPr>
        <w:t>建立完善新就业形态的劳动者劳动权益保障制度，引导支持灵活就业和新就业形态人员参加社会保险，提高灵活就业和新就业形态社会保险水平。指导督促平台企业规范劳动用工，明确平台企业用工主体责任。</w:t>
      </w:r>
      <w:r>
        <w:rPr>
          <w:rFonts w:hint="eastAsia" w:ascii="仿宋" w:hAnsi="仿宋" w:eastAsia="仿宋" w:cs="仿宋"/>
          <w:color w:val="auto"/>
          <w:sz w:val="32"/>
          <w:szCs w:val="32"/>
          <w:u w:color="000000"/>
        </w:rPr>
        <w:t>健全职业分类动态调整机制，持续开发新职业，发布新职业标准。</w:t>
      </w:r>
    </w:p>
    <w:tbl>
      <w:tblPr>
        <w:tblStyle w:val="12"/>
        <w:tblW w:w="9072" w:type="dxa"/>
        <w:jc w:val="center"/>
        <w:tblInd w:w="0" w:type="dxa"/>
        <w:tblLayout w:type="fixed"/>
        <w:tblCellMar>
          <w:top w:w="0" w:type="dxa"/>
          <w:left w:w="0" w:type="dxa"/>
          <w:bottom w:w="0" w:type="dxa"/>
          <w:right w:w="0" w:type="dxa"/>
        </w:tblCellMar>
      </w:tblPr>
      <w:tblGrid>
        <w:gridCol w:w="9072"/>
      </w:tblGrid>
      <w:tr>
        <w:tblPrEx>
          <w:tblLayout w:type="fixed"/>
          <w:tblCellMar>
            <w:top w:w="0" w:type="dxa"/>
            <w:left w:w="0" w:type="dxa"/>
            <w:bottom w:w="0" w:type="dxa"/>
            <w:right w:w="0" w:type="dxa"/>
          </w:tblCellMar>
        </w:tblPrEx>
        <w:trPr>
          <w:trHeight w:val="90" w:hRule="atLeast"/>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仿宋" w:hAnsi="仿宋" w:eastAsia="仿宋" w:cs="仿宋"/>
                <w:b/>
                <w:color w:val="auto"/>
                <w:kern w:val="0"/>
                <w:sz w:val="28"/>
                <w:szCs w:val="28"/>
              </w:rPr>
            </w:pPr>
            <w:r>
              <w:rPr>
                <w:rFonts w:hint="eastAsia" w:ascii="仿宋" w:hAnsi="仿宋" w:eastAsia="仿宋" w:cs="仿宋"/>
                <w:b/>
                <w:color w:val="auto"/>
                <w:kern w:val="0"/>
                <w:sz w:val="28"/>
                <w:szCs w:val="28"/>
              </w:rPr>
              <w:t>专栏</w:t>
            </w:r>
            <w:r>
              <w:rPr>
                <w:rFonts w:hint="eastAsia" w:ascii="仿宋" w:hAnsi="仿宋" w:eastAsia="仿宋" w:cs="仿宋"/>
                <w:b/>
                <w:color w:val="auto"/>
                <w:kern w:val="0"/>
                <w:sz w:val="28"/>
                <w:szCs w:val="28"/>
                <w:lang w:val="en-US" w:eastAsia="zh-CN"/>
              </w:rPr>
              <w:t>4</w:t>
            </w:r>
            <w:r>
              <w:rPr>
                <w:rFonts w:hint="eastAsia" w:ascii="仿宋" w:hAnsi="仿宋" w:eastAsia="仿宋" w:cs="仿宋"/>
                <w:b/>
                <w:color w:val="auto"/>
                <w:kern w:val="0"/>
                <w:sz w:val="28"/>
                <w:szCs w:val="28"/>
              </w:rPr>
              <w:t>：实施</w:t>
            </w:r>
            <w:r>
              <w:rPr>
                <w:rFonts w:hint="eastAsia" w:ascii="仿宋" w:hAnsi="仿宋" w:eastAsia="仿宋" w:cs="仿宋"/>
                <w:b/>
                <w:color w:val="auto"/>
                <w:sz w:val="28"/>
                <w:szCs w:val="28"/>
              </w:rPr>
              <w:t>灵活就业和新就业形态人员支持保障计划</w:t>
            </w:r>
          </w:p>
        </w:tc>
      </w:tr>
      <w:tr>
        <w:tblPrEx>
          <w:tblLayout w:type="fixed"/>
          <w:tblCellMar>
            <w:top w:w="0" w:type="dxa"/>
            <w:left w:w="0" w:type="dxa"/>
            <w:bottom w:w="0" w:type="dxa"/>
            <w:right w:w="0" w:type="dxa"/>
          </w:tblCellMar>
        </w:tblPrEx>
        <w:trPr>
          <w:jc w:val="center"/>
        </w:trPr>
        <w:tc>
          <w:tcPr>
            <w:tcW w:w="9072"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pStyle w:val="2"/>
              <w:keepNext w:val="0"/>
              <w:keepLines w:val="0"/>
              <w:pageBreakBefore w:val="0"/>
              <w:numPr>
                <w:ilvl w:val="0"/>
                <w:numId w:val="0"/>
              </w:numPr>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color w:val="auto"/>
                <w:kern w:val="0"/>
                <w:sz w:val="24"/>
                <w:szCs w:val="24"/>
                <w:lang w:val="en-US" w:eastAsia="zh-CN"/>
              </w:rPr>
              <w:t>1.</w:t>
            </w:r>
            <w:r>
              <w:rPr>
                <w:rFonts w:hint="eastAsia" w:ascii="仿宋" w:hAnsi="仿宋" w:eastAsia="仿宋" w:cs="仿宋"/>
                <w:b/>
                <w:color w:val="auto"/>
                <w:kern w:val="0"/>
                <w:sz w:val="24"/>
                <w:szCs w:val="24"/>
              </w:rPr>
              <w:t>完善灵活就业人员就业信息服务制度。</w:t>
            </w:r>
            <w:r>
              <w:rPr>
                <w:rFonts w:hint="eastAsia" w:ascii="仿宋" w:hAnsi="仿宋" w:eastAsia="仿宋" w:cs="仿宋"/>
                <w:b w:val="0"/>
                <w:bCs/>
                <w:color w:val="auto"/>
                <w:kern w:val="0"/>
                <w:sz w:val="24"/>
                <w:szCs w:val="24"/>
                <w:lang w:eastAsia="zh-CN"/>
              </w:rPr>
              <w:t>对</w:t>
            </w:r>
            <w:r>
              <w:rPr>
                <w:rFonts w:hint="eastAsia" w:ascii="仿宋" w:hAnsi="仿宋" w:eastAsia="仿宋" w:cs="仿宋"/>
                <w:b w:val="0"/>
                <w:bCs/>
                <w:color w:val="auto"/>
                <w:kern w:val="0"/>
                <w:sz w:val="24"/>
                <w:szCs w:val="24"/>
              </w:rPr>
              <w:t>个人经营、非全日制、新就业形态等灵活方式就业的</w:t>
            </w:r>
            <w:r>
              <w:rPr>
                <w:rFonts w:hint="eastAsia" w:ascii="仿宋" w:hAnsi="仿宋" w:eastAsia="仿宋" w:cs="仿宋"/>
                <w:b w:val="0"/>
                <w:bCs/>
                <w:color w:val="auto"/>
                <w:kern w:val="0"/>
                <w:sz w:val="24"/>
                <w:szCs w:val="24"/>
                <w:lang w:eastAsia="zh-CN"/>
              </w:rPr>
              <w:t>我省户籍</w:t>
            </w:r>
            <w:r>
              <w:rPr>
                <w:rFonts w:hint="eastAsia" w:ascii="仿宋" w:hAnsi="仿宋" w:eastAsia="仿宋" w:cs="仿宋"/>
                <w:b w:val="0"/>
                <w:bCs/>
                <w:color w:val="auto"/>
                <w:kern w:val="0"/>
                <w:sz w:val="24"/>
                <w:szCs w:val="24"/>
              </w:rPr>
              <w:t>劳动者，常住地公共就业服务机构</w:t>
            </w:r>
            <w:r>
              <w:rPr>
                <w:rFonts w:hint="eastAsia" w:ascii="仿宋" w:hAnsi="仿宋" w:eastAsia="仿宋" w:cs="仿宋"/>
                <w:b w:val="0"/>
                <w:bCs/>
                <w:color w:val="auto"/>
                <w:kern w:val="0"/>
                <w:sz w:val="24"/>
                <w:szCs w:val="24"/>
                <w:lang w:eastAsia="zh-CN"/>
              </w:rPr>
              <w:t>要主动为其</w:t>
            </w:r>
            <w:r>
              <w:rPr>
                <w:rFonts w:hint="eastAsia" w:ascii="仿宋" w:hAnsi="仿宋" w:eastAsia="仿宋" w:cs="仿宋"/>
                <w:b w:val="0"/>
                <w:bCs/>
                <w:color w:val="auto"/>
                <w:kern w:val="0"/>
                <w:sz w:val="24"/>
                <w:szCs w:val="24"/>
              </w:rPr>
              <w:t>办理就业登记</w:t>
            </w:r>
            <w:r>
              <w:rPr>
                <w:rFonts w:hint="eastAsia" w:ascii="仿宋" w:hAnsi="仿宋" w:eastAsia="仿宋" w:cs="仿宋"/>
                <w:b w:val="0"/>
                <w:bCs/>
                <w:color w:val="auto"/>
                <w:kern w:val="0"/>
                <w:sz w:val="24"/>
                <w:szCs w:val="24"/>
                <w:lang w:eastAsia="zh-CN"/>
              </w:rPr>
              <w:t>、提供各项免费公共就业</w:t>
            </w:r>
            <w:r>
              <w:rPr>
                <w:rFonts w:hint="eastAsia" w:ascii="仿宋" w:hAnsi="仿宋" w:eastAsia="仿宋" w:cs="仿宋"/>
                <w:b w:val="0"/>
                <w:bCs/>
                <w:color w:val="auto"/>
                <w:kern w:val="0"/>
                <w:sz w:val="24"/>
                <w:szCs w:val="24"/>
              </w:rPr>
              <w:t>服务</w:t>
            </w:r>
            <w:r>
              <w:rPr>
                <w:rFonts w:hint="eastAsia" w:ascii="仿宋" w:hAnsi="仿宋" w:eastAsia="仿宋" w:cs="仿宋"/>
                <w:b w:val="0"/>
                <w:bCs/>
                <w:color w:val="auto"/>
                <w:kern w:val="0"/>
                <w:sz w:val="24"/>
                <w:szCs w:val="24"/>
                <w:lang w:eastAsia="zh-CN"/>
              </w:rPr>
              <w:t>，并按规定给予享受灵活就业社会保险补贴等政策。各级公共就业服务平台要</w:t>
            </w:r>
            <w:r>
              <w:rPr>
                <w:rFonts w:hint="eastAsia" w:ascii="仿宋" w:hAnsi="仿宋" w:eastAsia="仿宋" w:cs="仿宋"/>
                <w:b w:val="0"/>
                <w:bCs/>
                <w:color w:val="auto"/>
                <w:kern w:val="0"/>
                <w:sz w:val="24"/>
                <w:szCs w:val="24"/>
              </w:rPr>
              <w:t>建立灵活就业岗位信息发布</w:t>
            </w:r>
            <w:r>
              <w:rPr>
                <w:rFonts w:hint="eastAsia" w:ascii="仿宋" w:hAnsi="仿宋" w:eastAsia="仿宋" w:cs="仿宋"/>
                <w:b w:val="0"/>
                <w:bCs/>
                <w:color w:val="auto"/>
                <w:kern w:val="0"/>
                <w:sz w:val="24"/>
                <w:szCs w:val="24"/>
                <w:lang w:eastAsia="zh-CN"/>
              </w:rPr>
              <w:t>专栏，通过互联网、就业彩云南微信公众号等方式更新发布岗位信息。</w:t>
            </w:r>
          </w:p>
          <w:p>
            <w:pPr>
              <w:pStyle w:val="2"/>
              <w:keepNext w:val="0"/>
              <w:keepLines w:val="0"/>
              <w:pageBreakBefore w:val="0"/>
              <w:numPr>
                <w:ilvl w:val="0"/>
                <w:numId w:val="0"/>
              </w:numPr>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color w:val="auto"/>
                <w:kern w:val="0"/>
                <w:sz w:val="24"/>
                <w:szCs w:val="24"/>
              </w:rPr>
              <w:t>2.实施新就业形态人员技能提升项目。</w:t>
            </w:r>
            <w:r>
              <w:rPr>
                <w:rFonts w:hint="eastAsia" w:ascii="仿宋" w:hAnsi="仿宋" w:eastAsia="仿宋" w:cs="仿宋"/>
                <w:b w:val="0"/>
                <w:bCs/>
                <w:color w:val="auto"/>
                <w:kern w:val="0"/>
                <w:sz w:val="24"/>
                <w:szCs w:val="24"/>
                <w:lang w:eastAsia="zh-CN"/>
              </w:rPr>
              <w:t>持续实施职业技能提升行动，广泛开展新职业新业态新模式从业人员技能培训，积极创新适合新就业形态人员的培训形式和内容，搭建数字资源线上培训服务平台，支持其根据自身实践和需求参加个性化培训。</w:t>
            </w:r>
          </w:p>
          <w:p>
            <w:pPr>
              <w:pStyle w:val="2"/>
              <w:keepNext w:val="0"/>
              <w:keepLines w:val="0"/>
              <w:pageBreakBefore w:val="0"/>
              <w:kinsoku/>
              <w:wordWrap/>
              <w:overflowPunct/>
              <w:topLinePunct w:val="0"/>
              <w:autoSpaceDE/>
              <w:autoSpaceDN/>
              <w:bidi w:val="0"/>
              <w:adjustRightInd/>
              <w:snapToGrid/>
              <w:spacing w:after="0" w:line="440" w:lineRule="exact"/>
              <w:ind w:firstLine="482" w:firstLineChars="200"/>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color w:val="auto"/>
                <w:kern w:val="0"/>
                <w:sz w:val="24"/>
                <w:szCs w:val="24"/>
                <w:lang w:eastAsia="zh-CN"/>
              </w:rPr>
              <w:t>3.健全灵活就业人员和新就业形态人员社会保障制度。</w:t>
            </w:r>
            <w:r>
              <w:rPr>
                <w:rFonts w:hint="eastAsia" w:ascii="仿宋" w:hAnsi="仿宋" w:eastAsia="仿宋" w:cs="仿宋"/>
                <w:b w:val="0"/>
                <w:bCs/>
                <w:color w:val="auto"/>
                <w:kern w:val="0"/>
                <w:sz w:val="24"/>
                <w:szCs w:val="24"/>
                <w:lang w:eastAsia="zh-CN"/>
              </w:rPr>
              <w:t>引导和鼓励灵活就业人员参加企业职工基本养老保险。按照国家统一部署，推进平台灵活就业人员职业伤害保障水平，鼓励平台企业通过购买人身意外雇主责任等商业保险，提升平台灵活就业人员保障水平。</w:t>
            </w:r>
          </w:p>
          <w:p>
            <w:pPr>
              <w:pStyle w:val="2"/>
              <w:keepNext w:val="0"/>
              <w:keepLines w:val="0"/>
              <w:pageBreakBefore w:val="0"/>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color w:val="auto"/>
                <w:szCs w:val="21"/>
              </w:rPr>
            </w:pPr>
            <w:r>
              <w:rPr>
                <w:rFonts w:hint="eastAsia" w:ascii="仿宋" w:hAnsi="仿宋" w:eastAsia="仿宋" w:cs="仿宋"/>
                <w:b/>
                <w:color w:val="auto"/>
                <w:kern w:val="0"/>
                <w:sz w:val="24"/>
                <w:szCs w:val="24"/>
                <w:lang w:val="en-US" w:eastAsia="zh-CN"/>
              </w:rPr>
              <w:t>4.</w:t>
            </w:r>
            <w:r>
              <w:rPr>
                <w:rFonts w:hint="default" w:ascii="仿宋" w:hAnsi="仿宋" w:eastAsia="仿宋" w:cs="仿宋"/>
                <w:b/>
                <w:color w:val="auto"/>
                <w:kern w:val="0"/>
                <w:sz w:val="24"/>
                <w:szCs w:val="24"/>
                <w:lang w:val="en-US" w:eastAsia="zh-CN"/>
              </w:rPr>
              <w:t>建立</w:t>
            </w:r>
            <w:r>
              <w:rPr>
                <w:rFonts w:hint="eastAsia" w:ascii="仿宋" w:hAnsi="仿宋" w:eastAsia="仿宋" w:cs="仿宋"/>
                <w:b/>
                <w:color w:val="auto"/>
                <w:kern w:val="0"/>
                <w:sz w:val="24"/>
                <w:szCs w:val="24"/>
                <w:lang w:val="en-US" w:eastAsia="zh-CN"/>
              </w:rPr>
              <w:t>健全新业态企业用工</w:t>
            </w:r>
            <w:r>
              <w:rPr>
                <w:rFonts w:hint="default" w:ascii="仿宋" w:hAnsi="仿宋" w:eastAsia="仿宋" w:cs="仿宋"/>
                <w:b/>
                <w:color w:val="auto"/>
                <w:kern w:val="0"/>
                <w:sz w:val="24"/>
                <w:szCs w:val="24"/>
                <w:lang w:val="en-US" w:eastAsia="zh-CN"/>
              </w:rPr>
              <w:t>风险监测预警机制。</w:t>
            </w:r>
            <w:r>
              <w:rPr>
                <w:rFonts w:hint="default" w:ascii="仿宋" w:hAnsi="仿宋" w:eastAsia="仿宋" w:cs="仿宋"/>
                <w:b w:val="0"/>
                <w:bCs/>
                <w:color w:val="auto"/>
                <w:kern w:val="0"/>
                <w:sz w:val="24"/>
                <w:szCs w:val="24"/>
                <w:lang w:val="en-US" w:eastAsia="zh-CN"/>
              </w:rPr>
              <w:t>建立</w:t>
            </w:r>
            <w:r>
              <w:rPr>
                <w:rFonts w:hint="eastAsia" w:ascii="仿宋" w:hAnsi="仿宋" w:eastAsia="仿宋" w:cs="仿宋"/>
                <w:b w:val="0"/>
                <w:bCs/>
                <w:color w:val="auto"/>
                <w:kern w:val="0"/>
                <w:sz w:val="24"/>
                <w:szCs w:val="24"/>
                <w:lang w:val="en-US" w:eastAsia="zh-CN"/>
              </w:rPr>
              <w:t>健全省、州（市）、</w:t>
            </w:r>
            <w:r>
              <w:rPr>
                <w:rFonts w:hint="default" w:ascii="仿宋" w:hAnsi="仿宋" w:eastAsia="仿宋" w:cs="仿宋"/>
                <w:b w:val="0"/>
                <w:bCs/>
                <w:color w:val="auto"/>
                <w:kern w:val="0"/>
                <w:sz w:val="24"/>
                <w:szCs w:val="24"/>
                <w:lang w:val="en-US" w:eastAsia="zh-CN"/>
              </w:rPr>
              <w:t>县</w:t>
            </w:r>
            <w:r>
              <w:rPr>
                <w:rFonts w:hint="eastAsia" w:ascii="仿宋" w:hAnsi="仿宋" w:eastAsia="仿宋" w:cs="仿宋"/>
                <w:b w:val="0"/>
                <w:bCs/>
                <w:color w:val="auto"/>
                <w:kern w:val="0"/>
                <w:sz w:val="24"/>
                <w:szCs w:val="24"/>
                <w:lang w:val="en-US" w:eastAsia="zh-CN"/>
              </w:rPr>
              <w:t>（市、区）三</w:t>
            </w:r>
            <w:r>
              <w:rPr>
                <w:rFonts w:hint="default" w:ascii="仿宋" w:hAnsi="仿宋" w:eastAsia="仿宋" w:cs="仿宋"/>
                <w:b w:val="0"/>
                <w:bCs/>
                <w:color w:val="auto"/>
                <w:kern w:val="0"/>
                <w:sz w:val="24"/>
                <w:szCs w:val="24"/>
                <w:lang w:val="en-US" w:eastAsia="zh-CN"/>
              </w:rPr>
              <w:t>级</w:t>
            </w:r>
            <w:r>
              <w:rPr>
                <w:rFonts w:hint="eastAsia" w:ascii="仿宋" w:hAnsi="仿宋" w:eastAsia="仿宋" w:cs="仿宋"/>
                <w:b w:val="0"/>
                <w:bCs/>
                <w:color w:val="auto"/>
                <w:kern w:val="0"/>
                <w:sz w:val="24"/>
                <w:szCs w:val="24"/>
                <w:lang w:val="en-US" w:eastAsia="zh-CN"/>
              </w:rPr>
              <w:t>用工</w:t>
            </w:r>
            <w:r>
              <w:rPr>
                <w:rFonts w:hint="default" w:ascii="仿宋" w:hAnsi="仿宋" w:eastAsia="仿宋" w:cs="仿宋"/>
                <w:b w:val="0"/>
                <w:bCs/>
                <w:color w:val="auto"/>
                <w:kern w:val="0"/>
                <w:sz w:val="24"/>
                <w:szCs w:val="24"/>
                <w:lang w:val="en-US" w:eastAsia="zh-CN"/>
              </w:rPr>
              <w:t>风险</w:t>
            </w:r>
            <w:r>
              <w:rPr>
                <w:rFonts w:hint="eastAsia" w:ascii="仿宋" w:hAnsi="仿宋" w:eastAsia="仿宋" w:cs="仿宋"/>
                <w:b w:val="0"/>
                <w:bCs/>
                <w:color w:val="auto"/>
                <w:kern w:val="0"/>
                <w:sz w:val="24"/>
                <w:szCs w:val="24"/>
                <w:lang w:val="en-US" w:eastAsia="zh-CN"/>
              </w:rPr>
              <w:t>动态监测、定期研判、分级预警和处置机制，监测范围覆盖重点地区、重点行业、重点企业及工业园区，将新就业形态用工企业纳入监测范围。</w:t>
            </w:r>
          </w:p>
        </w:tc>
      </w:tr>
    </w:tbl>
    <w:p>
      <w:pPr>
        <w:pStyle w:val="5"/>
        <w:keepNext w:val="0"/>
        <w:keepLines w:val="0"/>
        <w:pageBreakBefore w:val="0"/>
        <w:kinsoku/>
        <w:wordWrap/>
        <w:overflowPunct w:val="0"/>
        <w:topLinePunct w:val="0"/>
        <w:autoSpaceDE/>
        <w:autoSpaceDN/>
        <w:bidi w:val="0"/>
        <w:spacing w:before="0" w:after="0" w:line="600" w:lineRule="exact"/>
        <w:ind w:firstLine="640" w:firstLineChars="200"/>
        <w:textAlignment w:val="auto"/>
        <w:rPr>
          <w:rFonts w:hint="eastAsia" w:ascii="仿宋" w:hAnsi="仿宋" w:eastAsia="仿宋" w:cs="仿宋"/>
          <w:b w:val="0"/>
          <w:color w:val="auto"/>
          <w:szCs w:val="32"/>
          <w:u w:color="000000"/>
        </w:rPr>
      </w:pPr>
      <w:bookmarkStart w:id="82" w:name="_Toc1076067256"/>
      <w:bookmarkStart w:id="83" w:name="_Toc206961295"/>
      <w:bookmarkStart w:id="84" w:name="_Toc416842167"/>
      <w:bookmarkStart w:id="85" w:name="_Toc1217729124"/>
      <w:bookmarkStart w:id="86" w:name="_Toc606148575"/>
      <w:bookmarkStart w:id="87" w:name="_Toc1539947639"/>
      <w:bookmarkStart w:id="88" w:name="_Toc1164601756"/>
      <w:bookmarkStart w:id="89" w:name="_Toc1835478338"/>
      <w:bookmarkStart w:id="90" w:name="_Toc694951512"/>
      <w:bookmarkStart w:id="91" w:name="_Toc935189104"/>
      <w:bookmarkStart w:id="92" w:name="_Toc1386060904"/>
      <w:bookmarkStart w:id="93" w:name="_Toc427980789"/>
      <w:bookmarkStart w:id="94" w:name="_Toc1471707619"/>
      <w:bookmarkStart w:id="95" w:name="_Toc1609406371"/>
      <w:bookmarkStart w:id="96" w:name="_Toc1582726093"/>
      <w:bookmarkStart w:id="97" w:name="_Toc2080865213"/>
      <w:bookmarkStart w:id="98" w:name="_Toc1030284533"/>
      <w:r>
        <w:rPr>
          <w:rFonts w:hint="eastAsia" w:ascii="楷体" w:hAnsi="楷体" w:eastAsia="楷体" w:cs="楷体"/>
          <w:b w:val="0"/>
          <w:color w:val="auto"/>
          <w:kern w:val="2"/>
          <w:sz w:val="32"/>
          <w:szCs w:val="32"/>
          <w:u w:color="000000"/>
          <w:lang w:val="en-US" w:eastAsia="zh-CN" w:bidi="ar-SA"/>
        </w:rPr>
        <w:t>（十三）</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Fonts w:hint="eastAsia" w:ascii="楷体" w:hAnsi="楷体" w:eastAsia="楷体" w:cs="楷体"/>
          <w:b w:val="0"/>
          <w:color w:val="auto"/>
          <w:kern w:val="2"/>
          <w:sz w:val="32"/>
          <w:szCs w:val="32"/>
          <w:u w:color="000000"/>
          <w:lang w:val="en-US" w:eastAsia="zh-CN" w:bidi="ar-SA"/>
        </w:rPr>
        <w:t>促进不同区域就业协调发展</w:t>
      </w:r>
      <w:r>
        <w:rPr>
          <w:rFonts w:hint="eastAsia" w:ascii="仿宋" w:hAnsi="仿宋" w:eastAsia="仿宋" w:cs="仿宋"/>
          <w:b w:val="0"/>
          <w:bCs/>
          <w:color w:val="auto"/>
          <w:kern w:val="44"/>
          <w:szCs w:val="32"/>
          <w:u w:color="000000"/>
        </w:rPr>
        <w:t>。</w:t>
      </w:r>
      <w:r>
        <w:rPr>
          <w:rFonts w:hint="eastAsia" w:ascii="仿宋" w:hAnsi="仿宋" w:eastAsia="仿宋" w:cs="仿宋"/>
          <w:b w:val="0"/>
          <w:color w:val="auto"/>
          <w:kern w:val="2"/>
          <w:szCs w:val="32"/>
          <w:u w:color="000000"/>
        </w:rPr>
        <w:t>加快完善我省区域内基础设施，提升产业集聚区公共服务效能，优化健全区域间产业转移合理利益分配共享机制，积极承接中、东部产业向我省有序梯度转移，推动就业机会向我省各州市扩散。主动对接先进生产要素和创新资源，发展特色优势产业，改造提升传统产业，积极布局新兴产业，厚植就业创业沃土。</w:t>
      </w:r>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楷体" w:hAnsi="楷体" w:eastAsia="楷体" w:cs="楷体"/>
          <w:b w:val="0"/>
          <w:color w:val="auto"/>
          <w:kern w:val="2"/>
          <w:sz w:val="32"/>
          <w:szCs w:val="32"/>
          <w:u w:color="000000"/>
          <w:lang w:val="en-US" w:eastAsia="zh-CN" w:bidi="ar-SA"/>
        </w:rPr>
        <w:t>（十四）实施特殊类型地区就业促进行动</w:t>
      </w:r>
      <w:r>
        <w:rPr>
          <w:rFonts w:hint="eastAsia" w:ascii="仿宋" w:hAnsi="仿宋" w:eastAsia="仿宋" w:cs="仿宋"/>
          <w:bCs/>
          <w:color w:val="auto"/>
          <w:kern w:val="44"/>
          <w:sz w:val="32"/>
          <w:szCs w:val="32"/>
          <w:u w:color="000000"/>
        </w:rPr>
        <w:t>。</w:t>
      </w:r>
      <w:r>
        <w:rPr>
          <w:rFonts w:hint="eastAsia" w:ascii="仿宋" w:hAnsi="仿宋" w:eastAsia="仿宋" w:cs="仿宋"/>
          <w:color w:val="auto"/>
          <w:sz w:val="32"/>
          <w:szCs w:val="32"/>
          <w:u w:color="000000"/>
        </w:rPr>
        <w:t>健全巩固拓展脱贫攻坚成果长效机制，统筹各类政策资源，强化后续扶持，以脱贫地区为重点，支持各地区因地制宜发展吸纳就业效果好的富民产业。支持25个边境县发展本地特色产业，推进资源型地区加快培育发展接续替代产业，完善就地就近就业配套设施，做好边民、少数民族、失地农民、下岗矿工、停产企业员工等困难群体就业帮扶。对高失业率地区开展专项就业援助，针对性开发和推荐就业岗位，</w:t>
      </w:r>
      <w:r>
        <w:rPr>
          <w:rFonts w:hint="eastAsia" w:ascii="仿宋" w:hAnsi="仿宋" w:eastAsia="仿宋" w:cs="仿宋"/>
          <w:color w:val="auto"/>
          <w:sz w:val="32"/>
          <w:szCs w:val="32"/>
          <w:u w:color="000000"/>
          <w:lang w:eastAsia="zh-CN"/>
        </w:rPr>
        <w:t>实施用工调剂，</w:t>
      </w:r>
      <w:r>
        <w:rPr>
          <w:rFonts w:hint="eastAsia" w:ascii="仿宋" w:hAnsi="仿宋" w:eastAsia="仿宋" w:cs="仿宋"/>
          <w:color w:val="auto"/>
          <w:sz w:val="32"/>
          <w:szCs w:val="32"/>
          <w:u w:color="000000"/>
        </w:rPr>
        <w:t>促进失业人员再就业。</w:t>
      </w:r>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楷体" w:hAnsi="楷体" w:eastAsia="楷体" w:cs="楷体"/>
          <w:b w:val="0"/>
          <w:color w:val="auto"/>
          <w:kern w:val="2"/>
          <w:sz w:val="32"/>
          <w:szCs w:val="32"/>
          <w:u w:color="000000"/>
          <w:lang w:val="en-US" w:eastAsia="zh-CN" w:bidi="ar-SA"/>
        </w:rPr>
        <w:t>（十五）壮大县乡村促就业内生动力</w:t>
      </w:r>
      <w:r>
        <w:rPr>
          <w:rFonts w:hint="eastAsia" w:ascii="仿宋" w:hAnsi="仿宋" w:eastAsia="仿宋" w:cs="仿宋"/>
          <w:bCs/>
          <w:color w:val="auto"/>
          <w:kern w:val="44"/>
          <w:sz w:val="32"/>
          <w:szCs w:val="32"/>
          <w:u w:color="000000"/>
        </w:rPr>
        <w:t>。</w:t>
      </w:r>
      <w:r>
        <w:rPr>
          <w:rFonts w:hint="eastAsia" w:ascii="仿宋" w:hAnsi="仿宋" w:eastAsia="仿宋" w:cs="仿宋"/>
          <w:color w:val="auto"/>
          <w:sz w:val="32"/>
          <w:szCs w:val="32"/>
          <w:u w:color="000000"/>
        </w:rPr>
        <w:t>深入推进新型城镇化和乡村振兴战略有效衔接，推动县乡村联动发展，促进产镇融合、产村一体，打造“一县一业”“一乡一特”“一村一品”经济圈，做好产业和就业帮扶。推进以县城为主要载体的城镇化建设，补短板强弱项，增强综合服务能力，促进绿色低碳发展，吸引各类生产要素向县城流动聚集，做大做强县域经济，扩大县城就业需求。支持乡镇提升城市功能，增加生产生活要素供给，为发展产业、带动就业创造良好条件，把乡镇建设成拉动农村劳动力就业的区域中心。丰富乡村经济业态，促进乡村产业多模式融合、多类型示范，打造乡村产业链供应链，加快乡村产业振兴步伐，培育乡村就业增长极。</w:t>
      </w:r>
    </w:p>
    <w:tbl>
      <w:tblPr>
        <w:tblStyle w:val="12"/>
        <w:tblW w:w="9072" w:type="dxa"/>
        <w:jc w:val="center"/>
        <w:tblInd w:w="0" w:type="dxa"/>
        <w:tblLayout w:type="fixed"/>
        <w:tblCellMar>
          <w:top w:w="0" w:type="dxa"/>
          <w:left w:w="0" w:type="dxa"/>
          <w:bottom w:w="0" w:type="dxa"/>
          <w:right w:w="0" w:type="dxa"/>
        </w:tblCellMar>
      </w:tblPr>
      <w:tblGrid>
        <w:gridCol w:w="9072"/>
      </w:tblGrid>
      <w:tr>
        <w:tblPrEx>
          <w:tblLayout w:type="fixed"/>
          <w:tblCellMar>
            <w:top w:w="0" w:type="dxa"/>
            <w:left w:w="0" w:type="dxa"/>
            <w:bottom w:w="0" w:type="dxa"/>
            <w:right w:w="0" w:type="dxa"/>
          </w:tblCellMar>
        </w:tblPrEx>
        <w:trPr>
          <w:trHeight w:val="558" w:hRule="atLeast"/>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auto"/>
              <w:rPr>
                <w:rFonts w:hint="eastAsia" w:ascii="仿宋" w:hAnsi="仿宋" w:eastAsia="仿宋" w:cs="仿宋"/>
                <w:b/>
                <w:color w:val="auto"/>
                <w:kern w:val="0"/>
                <w:sz w:val="28"/>
                <w:szCs w:val="28"/>
              </w:rPr>
            </w:pPr>
            <w:r>
              <w:rPr>
                <w:rFonts w:hint="eastAsia" w:ascii="仿宋" w:hAnsi="仿宋" w:eastAsia="仿宋" w:cs="仿宋"/>
                <w:b/>
                <w:color w:val="auto"/>
                <w:kern w:val="0"/>
                <w:sz w:val="28"/>
                <w:szCs w:val="28"/>
              </w:rPr>
              <w:t>专栏</w:t>
            </w:r>
            <w:r>
              <w:rPr>
                <w:rFonts w:hint="eastAsia" w:ascii="仿宋" w:hAnsi="仿宋" w:eastAsia="仿宋" w:cs="仿宋"/>
                <w:b/>
                <w:color w:val="auto"/>
                <w:kern w:val="0"/>
                <w:sz w:val="28"/>
                <w:szCs w:val="28"/>
                <w:lang w:val="en-US" w:eastAsia="zh-CN"/>
              </w:rPr>
              <w:t>5</w:t>
            </w:r>
            <w:r>
              <w:rPr>
                <w:rFonts w:hint="eastAsia" w:ascii="仿宋" w:hAnsi="仿宋" w:eastAsia="仿宋" w:cs="仿宋"/>
                <w:b/>
                <w:color w:val="auto"/>
                <w:kern w:val="0"/>
                <w:sz w:val="28"/>
                <w:szCs w:val="28"/>
              </w:rPr>
              <w:t>：提高区域就业承载力重点任务</w:t>
            </w:r>
          </w:p>
        </w:tc>
      </w:tr>
      <w:tr>
        <w:tblPrEx>
          <w:tblLayout w:type="fixed"/>
          <w:tblCellMar>
            <w:top w:w="0" w:type="dxa"/>
            <w:left w:w="0" w:type="dxa"/>
            <w:bottom w:w="0" w:type="dxa"/>
            <w:right w:w="0" w:type="dxa"/>
          </w:tblCellMar>
        </w:tblPrEx>
        <w:trPr>
          <w:jc w:val="center"/>
        </w:trPr>
        <w:tc>
          <w:tcPr>
            <w:tcW w:w="9072"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keepNext w:val="0"/>
              <w:keepLines w:val="0"/>
              <w:pageBreakBefore w:val="0"/>
              <w:numPr>
                <w:ilvl w:val="0"/>
                <w:numId w:val="0"/>
              </w:numPr>
              <w:kinsoku/>
              <w:wordWrap/>
              <w:overflowPunct/>
              <w:topLinePunct w:val="0"/>
              <w:autoSpaceDE/>
              <w:autoSpaceDN/>
              <w:bidi w:val="0"/>
              <w:adjustRightInd/>
              <w:snapToGrid w:val="0"/>
              <w:spacing w:line="400" w:lineRule="exact"/>
              <w:ind w:firstLine="241" w:firstLineChars="100"/>
              <w:textAlignment w:val="auto"/>
              <w:rPr>
                <w:rFonts w:hint="default" w:ascii="仿宋" w:hAnsi="仿宋" w:eastAsia="仿宋" w:cs="仿宋"/>
                <w:color w:val="auto"/>
                <w:sz w:val="24"/>
                <w:szCs w:val="24"/>
                <w:lang w:val="en-US" w:eastAsia="zh-CN"/>
              </w:rPr>
            </w:pPr>
            <w:r>
              <w:rPr>
                <w:rFonts w:hint="eastAsia" w:ascii="仿宋" w:hAnsi="仿宋" w:eastAsia="仿宋" w:cs="仿宋"/>
                <w:b/>
                <w:color w:val="auto"/>
                <w:sz w:val="24"/>
                <w:szCs w:val="24"/>
                <w:lang w:val="en-US" w:eastAsia="zh-CN"/>
              </w:rPr>
              <w:t>1.</w:t>
            </w:r>
            <w:r>
              <w:rPr>
                <w:rFonts w:hint="eastAsia" w:ascii="仿宋" w:hAnsi="仿宋" w:eastAsia="仿宋" w:cs="仿宋"/>
                <w:b/>
                <w:color w:val="auto"/>
                <w:sz w:val="24"/>
                <w:szCs w:val="24"/>
              </w:rPr>
              <w:t>夯实就业基础。</w:t>
            </w:r>
            <w:r>
              <w:rPr>
                <w:rFonts w:hint="eastAsia" w:ascii="仿宋" w:hAnsi="仿宋" w:eastAsia="仿宋" w:cs="仿宋"/>
                <w:color w:val="auto"/>
                <w:sz w:val="24"/>
                <w:szCs w:val="24"/>
                <w:lang w:eastAsia="zh-CN"/>
              </w:rPr>
              <w:t>积极探索与浙江等</w:t>
            </w:r>
            <w:r>
              <w:rPr>
                <w:rFonts w:hint="eastAsia" w:ascii="仿宋" w:hAnsi="仿宋" w:eastAsia="仿宋" w:cs="仿宋"/>
                <w:color w:val="auto"/>
                <w:sz w:val="24"/>
                <w:szCs w:val="24"/>
              </w:rPr>
              <w:t>沿海</w:t>
            </w:r>
            <w:r>
              <w:rPr>
                <w:rFonts w:hint="eastAsia" w:ascii="仿宋" w:hAnsi="仿宋" w:eastAsia="仿宋" w:cs="仿宋"/>
                <w:color w:val="auto"/>
                <w:sz w:val="24"/>
                <w:szCs w:val="24"/>
                <w:lang w:eastAsia="zh-CN"/>
              </w:rPr>
              <w:t>发达</w:t>
            </w:r>
            <w:r>
              <w:rPr>
                <w:rFonts w:hint="eastAsia" w:ascii="仿宋" w:hAnsi="仿宋" w:eastAsia="仿宋" w:cs="仿宋"/>
                <w:color w:val="auto"/>
                <w:sz w:val="24"/>
                <w:szCs w:val="24"/>
              </w:rPr>
              <w:t>地区</w:t>
            </w:r>
            <w:r>
              <w:rPr>
                <w:rFonts w:hint="eastAsia" w:ascii="仿宋" w:hAnsi="仿宋" w:eastAsia="仿宋" w:cs="仿宋"/>
                <w:color w:val="auto"/>
                <w:sz w:val="24"/>
                <w:szCs w:val="24"/>
                <w:lang w:eastAsia="zh-CN"/>
              </w:rPr>
              <w:t>建立多层次合作机制，开展好“学浙江、找差距、增动力”活动，健全县园（工业园、产业园）、县企互动机制，</w:t>
            </w:r>
            <w:r>
              <w:rPr>
                <w:rFonts w:hint="eastAsia" w:ascii="仿宋" w:hAnsi="仿宋" w:eastAsia="仿宋" w:cs="仿宋"/>
                <w:color w:val="auto"/>
                <w:sz w:val="24"/>
                <w:szCs w:val="24"/>
              </w:rPr>
              <w:t>增强承接产业转移能力，创造更多本地就业岗位</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进一步深化</w:t>
            </w:r>
            <w:r>
              <w:rPr>
                <w:rFonts w:hint="eastAsia" w:ascii="仿宋" w:hAnsi="仿宋" w:eastAsia="仿宋" w:cs="仿宋"/>
                <w:color w:val="auto"/>
                <w:sz w:val="24"/>
                <w:szCs w:val="24"/>
                <w:lang w:eastAsia="zh-CN"/>
              </w:rPr>
              <w:t>东西部</w:t>
            </w:r>
            <w:r>
              <w:rPr>
                <w:rFonts w:hint="eastAsia" w:ascii="仿宋" w:hAnsi="仿宋" w:eastAsia="仿宋" w:cs="仿宋"/>
                <w:color w:val="auto"/>
                <w:sz w:val="24"/>
                <w:szCs w:val="24"/>
              </w:rPr>
              <w:t>省际劳务协作机制</w:t>
            </w:r>
            <w:r>
              <w:rPr>
                <w:rFonts w:hint="eastAsia" w:ascii="仿宋" w:hAnsi="仿宋" w:eastAsia="仿宋" w:cs="仿宋"/>
                <w:color w:val="auto"/>
                <w:sz w:val="24"/>
                <w:szCs w:val="24"/>
                <w:lang w:eastAsia="zh-CN"/>
              </w:rPr>
              <w:t>，强化劳务合作信息共享，全面拓展劳务输出的深度和广度。</w:t>
            </w:r>
            <w:r>
              <w:rPr>
                <w:rFonts w:hint="eastAsia" w:ascii="仿宋" w:hAnsi="仿宋" w:eastAsia="仿宋" w:cs="仿宋"/>
                <w:color w:val="auto"/>
                <w:sz w:val="24"/>
                <w:szCs w:val="24"/>
              </w:rPr>
              <w:t>支持各</w:t>
            </w:r>
            <w:r>
              <w:rPr>
                <w:rFonts w:hint="eastAsia" w:ascii="仿宋" w:hAnsi="仿宋" w:eastAsia="仿宋" w:cs="仿宋"/>
                <w:color w:val="auto"/>
                <w:sz w:val="24"/>
                <w:szCs w:val="24"/>
                <w:lang w:eastAsia="zh-CN"/>
              </w:rPr>
              <w:t>州市</w:t>
            </w:r>
            <w:r>
              <w:rPr>
                <w:rFonts w:hint="eastAsia" w:ascii="仿宋" w:hAnsi="仿宋" w:eastAsia="仿宋" w:cs="仿宋"/>
                <w:color w:val="auto"/>
                <w:sz w:val="24"/>
                <w:szCs w:val="24"/>
              </w:rPr>
              <w:t>立足基础优势，培育带动就业能力强的支柱产业，协同推进产业转型升级和促进就业。</w:t>
            </w:r>
          </w:p>
          <w:p>
            <w:pPr>
              <w:keepNext w:val="0"/>
              <w:keepLines w:val="0"/>
              <w:pageBreakBefore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Cs/>
                <w:color w:val="auto"/>
                <w:sz w:val="24"/>
                <w:szCs w:val="24"/>
              </w:rPr>
            </w:pPr>
            <w:r>
              <w:rPr>
                <w:rFonts w:hint="eastAsia" w:ascii="仿宋" w:hAnsi="仿宋" w:eastAsia="仿宋" w:cs="仿宋"/>
                <w:b/>
                <w:color w:val="auto"/>
                <w:sz w:val="24"/>
                <w:szCs w:val="24"/>
              </w:rPr>
              <w:t>2.扩大特殊类型地区就业容量。</w:t>
            </w:r>
            <w:r>
              <w:rPr>
                <w:rFonts w:hint="eastAsia" w:ascii="仿宋" w:hAnsi="仿宋" w:eastAsia="仿宋" w:cs="仿宋"/>
                <w:color w:val="auto"/>
                <w:sz w:val="24"/>
                <w:szCs w:val="24"/>
              </w:rPr>
              <w:t>以工代赈项目重点向</w:t>
            </w:r>
            <w:r>
              <w:rPr>
                <w:rFonts w:hint="eastAsia" w:ascii="仿宋" w:hAnsi="仿宋" w:eastAsia="仿宋" w:cs="仿宋"/>
                <w:color w:val="auto"/>
                <w:sz w:val="24"/>
                <w:szCs w:val="24"/>
                <w:lang w:eastAsia="zh-CN"/>
              </w:rPr>
              <w:t>我省</w:t>
            </w:r>
            <w:r>
              <w:rPr>
                <w:rFonts w:hint="eastAsia" w:ascii="仿宋" w:hAnsi="仿宋" w:eastAsia="仿宋" w:cs="仿宋"/>
                <w:color w:val="auto"/>
                <w:sz w:val="24"/>
                <w:szCs w:val="24"/>
              </w:rPr>
              <w:t>脱贫地区倾斜。支持</w:t>
            </w:r>
            <w:r>
              <w:rPr>
                <w:rFonts w:hint="eastAsia" w:ascii="仿宋" w:hAnsi="仿宋" w:eastAsia="仿宋" w:cs="仿宋"/>
                <w:color w:val="auto"/>
                <w:sz w:val="24"/>
                <w:szCs w:val="24"/>
                <w:lang w:eastAsia="zh-CN"/>
              </w:rPr>
              <w:t>我省</w:t>
            </w:r>
            <w:r>
              <w:rPr>
                <w:rFonts w:hint="eastAsia" w:ascii="仿宋" w:hAnsi="仿宋" w:eastAsia="仿宋" w:cs="仿宋"/>
                <w:color w:val="auto"/>
                <w:sz w:val="24"/>
                <w:szCs w:val="24"/>
                <w:lang w:val="en-US" w:eastAsia="zh-CN"/>
              </w:rPr>
              <w:t>25个边境县、国家和省57个乡村振兴重点帮扶县、“三区三州”等地区</w:t>
            </w:r>
            <w:r>
              <w:rPr>
                <w:rFonts w:hint="eastAsia" w:ascii="仿宋" w:hAnsi="仿宋" w:eastAsia="仿宋" w:cs="仿宋"/>
                <w:color w:val="auto"/>
                <w:sz w:val="24"/>
                <w:szCs w:val="24"/>
              </w:rPr>
              <w:t>培育一批特色产业集群、优势资源基地，推出</w:t>
            </w:r>
            <w:r>
              <w:rPr>
                <w:rFonts w:hint="eastAsia" w:ascii="仿宋" w:hAnsi="仿宋" w:eastAsia="仿宋" w:cs="仿宋"/>
                <w:color w:val="auto"/>
                <w:sz w:val="24"/>
                <w:szCs w:val="24"/>
                <w:lang w:eastAsia="zh-CN"/>
              </w:rPr>
              <w:t>大滇西旅游环线等</w:t>
            </w:r>
            <w:r>
              <w:rPr>
                <w:rFonts w:hint="eastAsia" w:ascii="仿宋" w:hAnsi="仿宋" w:eastAsia="仿宋" w:cs="仿宋"/>
                <w:color w:val="auto"/>
                <w:sz w:val="24"/>
                <w:szCs w:val="24"/>
              </w:rPr>
              <w:t>一批乡村旅游重点村、镇精品线路，为当地居民提供更多就业机会。</w:t>
            </w:r>
            <w:r>
              <w:rPr>
                <w:rFonts w:hint="eastAsia" w:ascii="仿宋" w:hAnsi="仿宋" w:eastAsia="仿宋" w:cs="仿宋"/>
                <w:color w:val="auto"/>
                <w:kern w:val="0"/>
                <w:sz w:val="24"/>
                <w:szCs w:val="24"/>
              </w:rPr>
              <w:t>支持</w:t>
            </w:r>
            <w:r>
              <w:rPr>
                <w:rFonts w:hint="eastAsia" w:ascii="仿宋" w:hAnsi="仿宋" w:eastAsia="仿宋" w:cs="仿宋"/>
                <w:color w:val="auto"/>
                <w:kern w:val="0"/>
                <w:sz w:val="24"/>
                <w:szCs w:val="24"/>
                <w:lang w:eastAsia="zh-CN"/>
              </w:rPr>
              <w:t>个旧市、东川区等</w:t>
            </w:r>
            <w:r>
              <w:rPr>
                <w:rFonts w:hint="eastAsia" w:ascii="仿宋" w:hAnsi="仿宋" w:eastAsia="仿宋" w:cs="仿宋"/>
                <w:color w:val="auto"/>
                <w:sz w:val="24"/>
                <w:szCs w:val="24"/>
              </w:rPr>
              <w:t>资源枯竭型城市</w:t>
            </w:r>
            <w:r>
              <w:rPr>
                <w:rFonts w:hint="eastAsia" w:ascii="仿宋" w:hAnsi="仿宋" w:eastAsia="仿宋" w:cs="仿宋"/>
                <w:color w:val="auto"/>
                <w:kern w:val="0"/>
                <w:sz w:val="24"/>
                <w:szCs w:val="24"/>
              </w:rPr>
              <w:t>加强</w:t>
            </w:r>
            <w:r>
              <w:rPr>
                <w:rFonts w:hint="eastAsia" w:ascii="仿宋" w:hAnsi="仿宋" w:eastAsia="仿宋" w:cs="仿宋"/>
                <w:bCs/>
                <w:color w:val="auto"/>
                <w:sz w:val="24"/>
                <w:szCs w:val="24"/>
              </w:rPr>
              <w:t>接续替代产业平台建设，</w:t>
            </w:r>
            <w:r>
              <w:rPr>
                <w:rFonts w:hint="eastAsia" w:ascii="仿宋" w:hAnsi="仿宋" w:eastAsia="仿宋" w:cs="仿宋"/>
                <w:color w:val="auto"/>
                <w:kern w:val="0"/>
                <w:sz w:val="24"/>
                <w:szCs w:val="24"/>
              </w:rPr>
              <w:t>培育接续替代产业集群，带动当地职工转岗就业。</w:t>
            </w:r>
            <w:r>
              <w:rPr>
                <w:rFonts w:hint="eastAsia" w:ascii="仿宋" w:hAnsi="仿宋" w:eastAsia="仿宋" w:cs="仿宋"/>
                <w:bCs/>
                <w:color w:val="auto"/>
                <w:sz w:val="24"/>
                <w:szCs w:val="24"/>
              </w:rPr>
              <w:t>深入采煤沉陷区综合治理和独立工矿区改造提升工程，改善生产发展和居民就业条件。</w:t>
            </w:r>
          </w:p>
          <w:p>
            <w:pPr>
              <w:keepNext w:val="0"/>
              <w:keepLines w:val="0"/>
              <w:pageBreakBefore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Cs/>
                <w:color w:val="auto"/>
                <w:sz w:val="24"/>
                <w:szCs w:val="24"/>
              </w:rPr>
            </w:pPr>
            <w:r>
              <w:rPr>
                <w:rFonts w:hint="eastAsia" w:ascii="仿宋" w:hAnsi="仿宋" w:eastAsia="仿宋" w:cs="仿宋"/>
                <w:b/>
                <w:bCs/>
                <w:color w:val="auto"/>
                <w:sz w:val="24"/>
                <w:szCs w:val="24"/>
              </w:rPr>
              <w:t>3.健全县乡村产业提升和就业促进机制。</w:t>
            </w:r>
            <w:r>
              <w:rPr>
                <w:rFonts w:hint="eastAsia" w:ascii="仿宋" w:hAnsi="仿宋" w:eastAsia="仿宋" w:cs="仿宋"/>
                <w:color w:val="auto"/>
                <w:sz w:val="24"/>
                <w:szCs w:val="24"/>
              </w:rPr>
              <w:t>引导劳动密集产业、县域特色产业在县城集聚发展，在</w:t>
            </w:r>
            <w:r>
              <w:rPr>
                <w:rFonts w:hint="eastAsia" w:ascii="仿宋" w:hAnsi="仿宋" w:eastAsia="仿宋" w:cs="仿宋"/>
                <w:color w:val="auto"/>
                <w:sz w:val="24"/>
                <w:szCs w:val="24"/>
                <w:lang w:eastAsia="zh-CN"/>
              </w:rPr>
              <w:t>国家确定的</w:t>
            </w:r>
            <w:r>
              <w:rPr>
                <w:rFonts w:hint="eastAsia" w:ascii="仿宋" w:hAnsi="仿宋" w:eastAsia="仿宋" w:cs="仿宋"/>
                <w:color w:val="auto"/>
                <w:sz w:val="24"/>
                <w:szCs w:val="24"/>
              </w:rPr>
              <w:t>农业产业强镇、商贸集镇、物流节点布局劳动密集型加工业，鼓励大型商贸企业在乡镇布点，增强就业支撑。保障乡村产业发展用地，做强现代种养业，做精乡村特色产业，提升农产品加工流通业，优化乡村休闲旅游业，培育发展乡村新型服务业和信息产业，持续带动农民就业创业。</w:t>
            </w:r>
          </w:p>
          <w:p>
            <w:pPr>
              <w:pStyle w:val="2"/>
              <w:keepNext w:val="0"/>
              <w:keepLines w:val="0"/>
              <w:pageBreakBefore w:val="0"/>
              <w:kinsoku/>
              <w:wordWrap/>
              <w:overflowPunct/>
              <w:topLinePunct w:val="0"/>
              <w:autoSpaceDE/>
              <w:autoSpaceDN/>
              <w:bidi w:val="0"/>
              <w:adjustRightInd/>
              <w:snapToGrid w:val="0"/>
              <w:spacing w:after="0" w:line="400" w:lineRule="exact"/>
              <w:ind w:firstLine="482" w:firstLineChars="200"/>
              <w:textAlignment w:val="auto"/>
              <w:rPr>
                <w:rFonts w:hint="eastAsia" w:ascii="仿宋" w:hAnsi="仿宋" w:eastAsia="仿宋" w:cs="仿宋"/>
                <w:color w:val="auto"/>
                <w:sz w:val="32"/>
                <w:szCs w:val="32"/>
              </w:rPr>
            </w:pPr>
            <w:r>
              <w:rPr>
                <w:rFonts w:hint="eastAsia" w:ascii="仿宋" w:hAnsi="仿宋" w:eastAsia="仿宋" w:cs="仿宋"/>
                <w:b/>
                <w:color w:val="auto"/>
                <w:kern w:val="0"/>
                <w:sz w:val="24"/>
                <w:szCs w:val="24"/>
              </w:rPr>
              <w:t>4.加强人才扶持。</w:t>
            </w:r>
            <w:r>
              <w:rPr>
                <w:rFonts w:hint="eastAsia" w:ascii="仿宋" w:hAnsi="仿宋" w:eastAsia="仿宋" w:cs="仿宋"/>
                <w:color w:val="auto"/>
                <w:kern w:val="0"/>
                <w:sz w:val="24"/>
                <w:szCs w:val="24"/>
              </w:rPr>
              <w:t>支持我省</w:t>
            </w:r>
            <w:r>
              <w:rPr>
                <w:rFonts w:hint="eastAsia" w:ascii="仿宋" w:hAnsi="仿宋" w:eastAsia="仿宋" w:cs="仿宋"/>
                <w:color w:val="auto"/>
                <w:sz w:val="24"/>
                <w:szCs w:val="24"/>
              </w:rPr>
              <w:t>特殊类型地区和县乡村基层积极吸引人才流入，加大力度</w:t>
            </w:r>
            <w:r>
              <w:rPr>
                <w:rFonts w:hint="eastAsia" w:ascii="仿宋" w:hAnsi="仿宋" w:eastAsia="仿宋" w:cs="仿宋"/>
                <w:color w:val="auto"/>
                <w:kern w:val="0"/>
                <w:sz w:val="24"/>
                <w:szCs w:val="24"/>
              </w:rPr>
              <w:t>推进职业教育和职业技能培训，为产业发展提供技术工人、管理人员和创业人才。</w:t>
            </w:r>
          </w:p>
        </w:tc>
      </w:tr>
    </w:tbl>
    <w:p>
      <w:pPr>
        <w:pStyle w:val="4"/>
        <w:keepLines w:val="0"/>
        <w:pageBreakBefore w:val="0"/>
        <w:kinsoku/>
        <w:wordWrap/>
        <w:overflowPunct w:val="0"/>
        <w:topLinePunct w:val="0"/>
        <w:autoSpaceDE/>
        <w:autoSpaceDN/>
        <w:bidi w:val="0"/>
        <w:adjustRightInd w:val="0"/>
        <w:snapToGrid w:val="0"/>
        <w:spacing w:before="0" w:after="0" w:line="600" w:lineRule="exact"/>
        <w:ind w:firstLine="640" w:firstLineChars="200"/>
        <w:textAlignment w:val="auto"/>
        <w:rPr>
          <w:rFonts w:hint="eastAsia" w:ascii="黑体" w:hAnsi="黑体" w:eastAsia="黑体" w:cs="黑体"/>
          <w:b w:val="0"/>
          <w:bCs/>
          <w:color w:val="auto"/>
          <w:sz w:val="32"/>
          <w:szCs w:val="32"/>
        </w:rPr>
      </w:pPr>
      <w:bookmarkStart w:id="99" w:name="_Toc30646"/>
      <w:bookmarkStart w:id="100" w:name="_Toc25466"/>
      <w:bookmarkStart w:id="101" w:name="_Toc26042"/>
      <w:bookmarkStart w:id="102" w:name="_Toc10783"/>
      <w:bookmarkStart w:id="103" w:name="_Toc19150"/>
      <w:bookmarkStart w:id="104" w:name="_Toc1944810242"/>
      <w:bookmarkStart w:id="105" w:name="_Toc376354348"/>
      <w:bookmarkStart w:id="106" w:name="_Toc1939542596"/>
      <w:bookmarkStart w:id="107" w:name="_Toc361202721"/>
      <w:bookmarkStart w:id="108" w:name="_Toc1742910065"/>
      <w:bookmarkStart w:id="109" w:name="_Toc820715604"/>
      <w:bookmarkStart w:id="110" w:name="_Toc1733726598"/>
      <w:bookmarkStart w:id="111" w:name="_Toc977446875"/>
      <w:bookmarkStart w:id="112" w:name="_Toc218574028"/>
      <w:bookmarkStart w:id="113" w:name="_Toc747062942"/>
      <w:bookmarkStart w:id="114" w:name="_Toc1410538125"/>
      <w:bookmarkStart w:id="115" w:name="_Toc1170272008"/>
      <w:bookmarkStart w:id="116" w:name="_Toc2147356327"/>
      <w:bookmarkStart w:id="117" w:name="_Toc975901048"/>
      <w:bookmarkStart w:id="118" w:name="_Toc311764351"/>
      <w:bookmarkStart w:id="119" w:name="_Toc1780570417"/>
      <w:bookmarkStart w:id="120" w:name="_Toc1176549559"/>
      <w:r>
        <w:rPr>
          <w:rFonts w:hint="eastAsia" w:ascii="黑体" w:hAnsi="黑体" w:eastAsia="黑体" w:cs="黑体"/>
          <w:b w:val="0"/>
          <w:bCs/>
          <w:color w:val="auto"/>
          <w:sz w:val="32"/>
          <w:szCs w:val="32"/>
        </w:rPr>
        <w:t>四、大力促进创业带动就业</w:t>
      </w:r>
      <w:bookmarkEnd w:id="99"/>
      <w:bookmarkEnd w:id="100"/>
      <w:bookmarkEnd w:id="101"/>
      <w:bookmarkEnd w:id="102"/>
      <w:r>
        <w:rPr>
          <w:rFonts w:hint="eastAsia" w:ascii="黑体" w:hAnsi="黑体" w:eastAsia="黑体" w:cs="黑体"/>
          <w:b w:val="0"/>
          <w:bCs/>
          <w:color w:val="auto"/>
          <w:sz w:val="32"/>
          <w:szCs w:val="32"/>
          <w:lang w:val="en-US" w:eastAsia="zh-CN"/>
        </w:rPr>
        <w:t xml:space="preserve"> </w:t>
      </w:r>
      <w:r>
        <w:rPr>
          <w:rFonts w:hint="eastAsia" w:ascii="黑体" w:hAnsi="黑体" w:eastAsia="黑体" w:cs="黑体"/>
          <w:b w:val="0"/>
          <w:bCs/>
          <w:color w:val="auto"/>
          <w:sz w:val="32"/>
          <w:szCs w:val="32"/>
        </w:rPr>
        <w:t>释放就业倍增效应</w:t>
      </w:r>
      <w:bookmarkEnd w:id="103"/>
    </w:p>
    <w:p>
      <w:pPr>
        <w:pStyle w:val="2"/>
        <w:pageBreakBefore w:val="0"/>
        <w:kinsoku/>
        <w:wordWrap/>
        <w:topLinePunct w:val="0"/>
        <w:autoSpaceDE/>
        <w:autoSpaceDN/>
        <w:bidi w:val="0"/>
        <w:spacing w:after="0"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u w:color="000000"/>
        </w:rPr>
        <w:t>深入实施创新驱动发展战略，营造有利于创新创业创造的良好发展环境，持续推进“双创”，更大激发市场活力和社会创造力，促进创业带动就业。</w:t>
      </w:r>
    </w:p>
    <w:p>
      <w:pPr>
        <w:pStyle w:val="16"/>
        <w:pageBreakBefore w:val="0"/>
        <w:kinsoku/>
        <w:wordWrap/>
        <w:overflowPunct w:val="0"/>
        <w:topLinePunct w:val="0"/>
        <w:autoSpaceDE/>
        <w:autoSpaceDN/>
        <w:bidi w:val="0"/>
        <w:adjustRightInd w:val="0"/>
        <w:snapToGrid w:val="0"/>
        <w:spacing w:line="600" w:lineRule="exact"/>
        <w:ind w:firstLine="640" w:firstLineChars="200"/>
        <w:textAlignment w:val="auto"/>
        <w:rPr>
          <w:rFonts w:hint="eastAsia" w:ascii="仿宋" w:hAnsi="仿宋" w:eastAsia="仿宋" w:cs="仿宋"/>
          <w:color w:val="auto"/>
          <w:sz w:val="32"/>
          <w:szCs w:val="32"/>
        </w:rPr>
      </w:pPr>
      <w:bookmarkStart w:id="121" w:name="_Toc23961"/>
      <w:bookmarkStart w:id="122" w:name="_Toc2777"/>
      <w:bookmarkStart w:id="123" w:name="_Toc16404"/>
      <w:r>
        <w:rPr>
          <w:rFonts w:hint="eastAsia" w:ascii="楷体" w:hAnsi="楷体" w:eastAsia="楷体" w:cs="楷体"/>
          <w:bCs/>
          <w:color w:val="auto"/>
          <w:kern w:val="44"/>
          <w:sz w:val="32"/>
          <w:szCs w:val="32"/>
        </w:rPr>
        <w:t>（十六）持续优化创业环境</w:t>
      </w:r>
      <w:r>
        <w:rPr>
          <w:rFonts w:hint="eastAsia" w:ascii="仿宋" w:hAnsi="仿宋" w:eastAsia="仿宋" w:cs="仿宋"/>
          <w:bCs/>
          <w:color w:val="auto"/>
          <w:kern w:val="44"/>
          <w:sz w:val="32"/>
          <w:szCs w:val="32"/>
        </w:rPr>
        <w:t>。</w:t>
      </w:r>
      <w:bookmarkEnd w:id="121"/>
      <w:bookmarkEnd w:id="122"/>
      <w:bookmarkEnd w:id="123"/>
      <w:r>
        <w:rPr>
          <w:rFonts w:hint="eastAsia" w:ascii="仿宋" w:hAnsi="仿宋" w:eastAsia="仿宋" w:cs="仿宋"/>
          <w:color w:val="auto"/>
          <w:sz w:val="32"/>
          <w:szCs w:val="32"/>
        </w:rPr>
        <w:t>深化“放管服”改革，推动“证照分离”改革全覆盖，简化行政审批手续，全面实施市场准入负面清单制度，定期评估、排查、清理各类显性和隐性壁垒，最大限度解除对创业的束缚。对新产业新业态实施包容审慎监管，建立便利、高效、有序的市场主体退出制度。推进创业领域信用体系建设，加强失信联合惩戒。健全市场监管机制，完善“双随机、一公开”监管、线上线下一体化监管、信用监管、跨部门协同监管等新型监管方法。</w:t>
      </w:r>
    </w:p>
    <w:p>
      <w:pPr>
        <w:pStyle w:val="16"/>
        <w:pageBreakBefore w:val="0"/>
        <w:kinsoku/>
        <w:wordWrap/>
        <w:overflowPunct w:val="0"/>
        <w:topLinePunct w:val="0"/>
        <w:autoSpaceDE/>
        <w:autoSpaceDN/>
        <w:bidi w:val="0"/>
        <w:adjustRightInd w:val="0"/>
        <w:snapToGrid w:val="0"/>
        <w:spacing w:line="600" w:lineRule="exact"/>
        <w:ind w:firstLine="640" w:firstLineChars="200"/>
        <w:textAlignment w:val="auto"/>
        <w:rPr>
          <w:rFonts w:hint="eastAsia" w:ascii="仿宋" w:hAnsi="仿宋" w:eastAsia="仿宋" w:cs="仿宋"/>
          <w:color w:val="auto"/>
          <w:sz w:val="32"/>
          <w:szCs w:val="32"/>
        </w:rPr>
      </w:pPr>
      <w:bookmarkStart w:id="124" w:name="_Toc25541"/>
      <w:bookmarkStart w:id="125" w:name="_Toc7461"/>
      <w:bookmarkStart w:id="126" w:name="_Toc17331"/>
      <w:r>
        <w:rPr>
          <w:rFonts w:hint="eastAsia" w:ascii="楷体" w:hAnsi="楷体" w:eastAsia="楷体" w:cs="楷体"/>
          <w:bCs/>
          <w:color w:val="auto"/>
          <w:kern w:val="44"/>
          <w:sz w:val="32"/>
          <w:szCs w:val="32"/>
        </w:rPr>
        <w:t>（十七）加大创业政策支持</w:t>
      </w:r>
      <w:r>
        <w:rPr>
          <w:rFonts w:hint="eastAsia" w:ascii="仿宋" w:hAnsi="仿宋" w:eastAsia="仿宋" w:cs="仿宋"/>
          <w:bCs/>
          <w:color w:val="auto"/>
          <w:kern w:val="44"/>
          <w:sz w:val="32"/>
          <w:szCs w:val="32"/>
        </w:rPr>
        <w:t>。</w:t>
      </w:r>
      <w:bookmarkEnd w:id="124"/>
      <w:bookmarkEnd w:id="125"/>
      <w:bookmarkEnd w:id="126"/>
      <w:r>
        <w:rPr>
          <w:rFonts w:hint="eastAsia" w:ascii="仿宋" w:hAnsi="仿宋" w:eastAsia="仿宋" w:cs="仿宋"/>
          <w:color w:val="auto"/>
          <w:sz w:val="32"/>
          <w:szCs w:val="32"/>
        </w:rPr>
        <w:t>落实税收、用地、融资等方面支持初创实体的优惠政策，进一步降低创业成本。继续实施支持和促进重点群体创业就业税收政策，扣除限额（定额）按照国家规定的最高上浮幅度执行。加大创业补贴、创业扶持项目等政策支持力度，加大对初创企业的场地支持、设施提供、房租减免、住房优惠等政策扶持力度。</w:t>
      </w:r>
      <w:r>
        <w:rPr>
          <w:rFonts w:hint="eastAsia" w:ascii="仿宋" w:hAnsi="仿宋" w:eastAsia="仿宋" w:cs="仿宋"/>
          <w:color w:val="auto"/>
          <w:sz w:val="32"/>
          <w:szCs w:val="32"/>
          <w:lang w:eastAsia="zh-CN"/>
        </w:rPr>
        <w:t>继续实施</w:t>
      </w:r>
      <w:r>
        <w:rPr>
          <w:rFonts w:hint="eastAsia" w:ascii="仿宋" w:hAnsi="仿宋" w:eastAsia="仿宋" w:cs="仿宋"/>
          <w:color w:val="auto"/>
          <w:sz w:val="32"/>
          <w:szCs w:val="32"/>
        </w:rPr>
        <w:t>“贷免扶补”</w:t>
      </w:r>
      <w:r>
        <w:rPr>
          <w:rFonts w:hint="eastAsia" w:ascii="仿宋" w:hAnsi="仿宋" w:eastAsia="仿宋" w:cs="仿宋"/>
          <w:color w:val="auto"/>
          <w:sz w:val="32"/>
          <w:szCs w:val="32"/>
          <w:lang w:eastAsia="zh-CN"/>
        </w:rPr>
        <w:t>、创业担保贷款政策</w:t>
      </w:r>
      <w:r>
        <w:rPr>
          <w:rFonts w:hint="eastAsia" w:ascii="仿宋" w:hAnsi="仿宋" w:eastAsia="仿宋" w:cs="仿宋"/>
          <w:color w:val="auto"/>
          <w:sz w:val="32"/>
          <w:szCs w:val="32"/>
        </w:rPr>
        <w:t>，持续扩大贷款覆盖面，降低反担保门槛，优化贷款审批流程，推行电子化审批，提升</w:t>
      </w:r>
      <w:r>
        <w:rPr>
          <w:rFonts w:hint="eastAsia" w:ascii="仿宋" w:hAnsi="仿宋" w:eastAsia="仿宋" w:cs="仿宋"/>
          <w:color w:val="auto"/>
          <w:sz w:val="32"/>
          <w:szCs w:val="32"/>
          <w:lang w:eastAsia="zh-CN"/>
        </w:rPr>
        <w:t>个体工商户</w:t>
      </w:r>
      <w:r>
        <w:rPr>
          <w:rFonts w:hint="eastAsia" w:ascii="仿宋" w:hAnsi="仿宋" w:eastAsia="仿宋" w:cs="仿宋"/>
          <w:color w:val="auto"/>
          <w:sz w:val="32"/>
          <w:szCs w:val="32"/>
        </w:rPr>
        <w:t>和小微企业创业主体贷款的便捷性和可获得性。积极拓宽投融资渠道，强化对初创企业的融资支持，拓展创业企业直接融资渠道，大力发展创业投资，更好发挥私募股权、风险投资和天使投资基金等对创业的推动作用。</w:t>
      </w:r>
    </w:p>
    <w:p>
      <w:pPr>
        <w:pStyle w:val="16"/>
        <w:pageBreakBefore w:val="0"/>
        <w:kinsoku/>
        <w:wordWrap/>
        <w:overflowPunct w:val="0"/>
        <w:topLinePunct w:val="0"/>
        <w:autoSpaceDE/>
        <w:autoSpaceDN/>
        <w:bidi w:val="0"/>
        <w:adjustRightInd w:val="0"/>
        <w:snapToGrid w:val="0"/>
        <w:spacing w:line="600" w:lineRule="exact"/>
        <w:ind w:firstLine="640" w:firstLineChars="200"/>
        <w:textAlignment w:val="auto"/>
        <w:rPr>
          <w:rFonts w:hint="eastAsia" w:ascii="仿宋" w:hAnsi="仿宋" w:eastAsia="仿宋" w:cs="仿宋"/>
          <w:color w:val="auto"/>
          <w:sz w:val="32"/>
          <w:szCs w:val="32"/>
        </w:rPr>
      </w:pPr>
      <w:bookmarkStart w:id="127" w:name="_Toc1283"/>
      <w:bookmarkStart w:id="128" w:name="_Toc25842"/>
      <w:bookmarkStart w:id="129" w:name="_Toc5987"/>
      <w:r>
        <w:rPr>
          <w:rFonts w:hint="eastAsia" w:ascii="楷体" w:hAnsi="楷体" w:eastAsia="楷体" w:cs="楷体"/>
          <w:bCs/>
          <w:color w:val="auto"/>
          <w:kern w:val="44"/>
          <w:sz w:val="32"/>
          <w:szCs w:val="32"/>
        </w:rPr>
        <w:t>（十八）提升创业服务水平</w:t>
      </w:r>
      <w:r>
        <w:rPr>
          <w:rFonts w:hint="eastAsia" w:ascii="仿宋" w:hAnsi="仿宋" w:eastAsia="仿宋" w:cs="仿宋"/>
          <w:bCs/>
          <w:color w:val="auto"/>
          <w:kern w:val="44"/>
          <w:sz w:val="32"/>
          <w:szCs w:val="32"/>
        </w:rPr>
        <w:t>。</w:t>
      </w:r>
      <w:bookmarkEnd w:id="127"/>
      <w:bookmarkEnd w:id="128"/>
      <w:bookmarkEnd w:id="129"/>
      <w:r>
        <w:rPr>
          <w:rFonts w:hint="eastAsia" w:ascii="仿宋" w:hAnsi="仿宋" w:eastAsia="仿宋" w:cs="仿宋"/>
          <w:color w:val="auto"/>
          <w:sz w:val="32"/>
          <w:szCs w:val="32"/>
        </w:rPr>
        <w:t>加快完善创业服务网络，将创业服务进一步向社区、校区、园区延伸，积极培育市场化创业服务机构，打造创业服务品牌，实现与公共创业服务优势互补。加强创业服务队伍建设，为创业者提供政策咨询、项目推介、开业指导等“一站式”服务。发展“互联网+创业服务”，提升线上线下创业服务能力。健全创业培训体系，鼓励</w:t>
      </w:r>
      <w:r>
        <w:rPr>
          <w:rFonts w:hint="eastAsia" w:ascii="仿宋" w:hAnsi="仿宋" w:eastAsia="仿宋" w:cs="仿宋"/>
          <w:color w:val="auto"/>
          <w:sz w:val="32"/>
          <w:szCs w:val="32"/>
          <w:lang w:eastAsia="zh-CN"/>
        </w:rPr>
        <w:t>各级</w:t>
      </w:r>
      <w:r>
        <w:rPr>
          <w:rFonts w:hint="eastAsia" w:ascii="仿宋" w:hAnsi="仿宋" w:eastAsia="仿宋" w:cs="仿宋"/>
          <w:color w:val="auto"/>
          <w:sz w:val="32"/>
          <w:szCs w:val="32"/>
        </w:rPr>
        <w:t>政府、高校、中等职业学校、技工院校、培训机构针对不同类型创业者、不同创业发展阶段，开设多元的创业培训课程</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深入实施创业培训“马兰花”计划，为有创业意愿和培训需求的城乡各类劳动者开展创业培训。组织开展创业培训师资培训班，举办云南省马兰花创业培训讲师大赛，支持优秀创业培训师资成立创业指导工作室，提高创业培训师资水平。推广创业导师制，壮大青年、农村创业导师队伍。搭建创业服务平台，打造创业培训、创业实践、咨询指导、跟踪帮扶等一体化创业服务体系，提高创业孵化基地建设质量，打造一批示范性创业孵化载体，提升省级大学生创业孵化示范基地建设水平。</w:t>
      </w:r>
    </w:p>
    <w:p>
      <w:pPr>
        <w:pStyle w:val="16"/>
        <w:pageBreakBefore w:val="0"/>
        <w:kinsoku/>
        <w:wordWrap/>
        <w:overflowPunct w:val="0"/>
        <w:topLinePunct w:val="0"/>
        <w:autoSpaceDE/>
        <w:autoSpaceDN/>
        <w:bidi w:val="0"/>
        <w:adjustRightInd w:val="0"/>
        <w:snapToGrid w:val="0"/>
        <w:spacing w:line="600" w:lineRule="exact"/>
        <w:ind w:firstLine="640" w:firstLineChars="200"/>
        <w:textAlignment w:val="auto"/>
        <w:rPr>
          <w:rFonts w:hint="eastAsia" w:ascii="仿宋" w:hAnsi="仿宋" w:eastAsia="仿宋" w:cs="仿宋"/>
          <w:color w:val="auto"/>
          <w:sz w:val="32"/>
          <w:szCs w:val="32"/>
        </w:rPr>
      </w:pPr>
    </w:p>
    <w:tbl>
      <w:tblPr>
        <w:tblStyle w:val="12"/>
        <w:tblW w:w="9072" w:type="dxa"/>
        <w:jc w:val="center"/>
        <w:tblInd w:w="0" w:type="dxa"/>
        <w:tblLayout w:type="fixed"/>
        <w:tblCellMar>
          <w:top w:w="0" w:type="dxa"/>
          <w:left w:w="0" w:type="dxa"/>
          <w:bottom w:w="0" w:type="dxa"/>
          <w:right w:w="0" w:type="dxa"/>
        </w:tblCellMar>
      </w:tblPr>
      <w:tblGrid>
        <w:gridCol w:w="9072"/>
      </w:tblGrid>
      <w:tr>
        <w:tblPrEx>
          <w:tblLayout w:type="fixed"/>
          <w:tblCellMar>
            <w:top w:w="0" w:type="dxa"/>
            <w:left w:w="0" w:type="dxa"/>
            <w:bottom w:w="0" w:type="dxa"/>
            <w:right w:w="0" w:type="dxa"/>
          </w:tblCellMar>
        </w:tblPrEx>
        <w:trPr>
          <w:trHeight w:val="558" w:hRule="atLeast"/>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color w:val="auto"/>
                <w:kern w:val="0"/>
                <w:sz w:val="28"/>
                <w:szCs w:val="28"/>
                <w:lang w:eastAsia="zh-CN"/>
              </w:rPr>
            </w:pPr>
            <w:r>
              <w:rPr>
                <w:rFonts w:hint="eastAsia" w:ascii="仿宋" w:hAnsi="仿宋" w:eastAsia="仿宋" w:cs="仿宋"/>
                <w:b/>
                <w:color w:val="auto"/>
                <w:kern w:val="0"/>
                <w:sz w:val="28"/>
                <w:szCs w:val="28"/>
              </w:rPr>
              <w:t>专栏</w:t>
            </w:r>
            <w:r>
              <w:rPr>
                <w:rFonts w:hint="eastAsia" w:ascii="仿宋" w:hAnsi="仿宋" w:eastAsia="仿宋" w:cs="仿宋"/>
                <w:b/>
                <w:color w:val="auto"/>
                <w:kern w:val="0"/>
                <w:sz w:val="28"/>
                <w:szCs w:val="28"/>
                <w:lang w:val="en-US" w:eastAsia="zh-CN"/>
              </w:rPr>
              <w:t>6</w:t>
            </w:r>
            <w:r>
              <w:rPr>
                <w:rFonts w:hint="eastAsia" w:ascii="仿宋" w:hAnsi="仿宋" w:eastAsia="仿宋" w:cs="仿宋"/>
                <w:b/>
                <w:color w:val="auto"/>
                <w:kern w:val="0"/>
                <w:sz w:val="28"/>
                <w:szCs w:val="28"/>
              </w:rPr>
              <w:t>：</w:t>
            </w:r>
            <w:r>
              <w:rPr>
                <w:rFonts w:hint="eastAsia" w:ascii="仿宋" w:hAnsi="仿宋" w:eastAsia="仿宋" w:cs="仿宋"/>
                <w:b/>
                <w:color w:val="auto"/>
                <w:sz w:val="28"/>
                <w:szCs w:val="28"/>
              </w:rPr>
              <w:t>返乡入乡创业园建设</w:t>
            </w:r>
            <w:r>
              <w:rPr>
                <w:rFonts w:hint="eastAsia" w:ascii="仿宋" w:hAnsi="仿宋" w:eastAsia="仿宋" w:cs="仿宋"/>
                <w:b/>
                <w:color w:val="auto"/>
                <w:sz w:val="28"/>
                <w:szCs w:val="28"/>
                <w:lang w:eastAsia="zh-CN"/>
              </w:rPr>
              <w:t>计划</w:t>
            </w:r>
          </w:p>
        </w:tc>
      </w:tr>
      <w:tr>
        <w:tblPrEx>
          <w:tblLayout w:type="fixed"/>
          <w:tblCellMar>
            <w:top w:w="0" w:type="dxa"/>
            <w:left w:w="0" w:type="dxa"/>
            <w:bottom w:w="0" w:type="dxa"/>
            <w:right w:w="0" w:type="dxa"/>
          </w:tblCellMar>
        </w:tblPrEx>
        <w:trPr>
          <w:jc w:val="center"/>
        </w:trPr>
        <w:tc>
          <w:tcPr>
            <w:tcW w:w="9072"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仿宋" w:hAnsi="仿宋" w:eastAsia="仿宋" w:cs="仿宋"/>
                <w:color w:val="auto"/>
                <w:kern w:val="2"/>
                <w:sz w:val="24"/>
                <w:szCs w:val="24"/>
                <w:lang w:val="en-US" w:eastAsia="zh-CN" w:bidi="ar-SA"/>
              </w:rPr>
            </w:pPr>
            <w:r>
              <w:rPr>
                <w:rFonts w:hint="eastAsia" w:ascii="仿宋" w:hAnsi="仿宋" w:eastAsia="仿宋" w:cs="仿宋"/>
                <w:b/>
                <w:color w:val="auto"/>
                <w:sz w:val="24"/>
                <w:szCs w:val="24"/>
                <w:lang w:val="en-US" w:eastAsia="zh-CN"/>
              </w:rPr>
              <w:t>1.</w:t>
            </w:r>
            <w:r>
              <w:rPr>
                <w:rFonts w:hint="eastAsia" w:ascii="仿宋" w:hAnsi="仿宋" w:eastAsia="仿宋" w:cs="仿宋"/>
                <w:b/>
                <w:color w:val="auto"/>
                <w:sz w:val="24"/>
                <w:szCs w:val="24"/>
                <w:lang w:eastAsia="zh-CN"/>
              </w:rPr>
              <w:t>加大对创业园建设的支持力度。</w:t>
            </w:r>
            <w:r>
              <w:rPr>
                <w:rFonts w:hint="eastAsia" w:ascii="仿宋" w:hAnsi="仿宋" w:eastAsia="仿宋" w:cs="仿宋"/>
                <w:color w:val="auto"/>
                <w:kern w:val="2"/>
                <w:sz w:val="24"/>
                <w:szCs w:val="24"/>
                <w:lang w:val="en-US" w:eastAsia="zh-CN" w:bidi="ar-SA"/>
              </w:rPr>
              <w:t>以县级为单位，对现有开发区、产业园区、产业集聚区、创业载体等各类园区平台整合拓展、优化布局，重点打造功能完备、环境优良的返乡入乡创业园。加大“贷免扶补”、创业担保贷款扶持，持续推动各类创业孵化基地建设，鼓励和引导社会投资机构利用闲置场地开展创业孵化载体建设，为返乡创业者提供创业场地孵化服务。</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仿宋" w:hAnsi="仿宋" w:eastAsia="仿宋" w:cs="仿宋"/>
                <w:color w:val="auto"/>
                <w:szCs w:val="21"/>
              </w:rPr>
            </w:pPr>
            <w:r>
              <w:rPr>
                <w:rFonts w:hint="eastAsia" w:ascii="仿宋" w:hAnsi="仿宋" w:eastAsia="仿宋" w:cs="仿宋"/>
                <w:b/>
                <w:bCs/>
                <w:color w:val="auto"/>
                <w:kern w:val="2"/>
                <w:sz w:val="24"/>
                <w:szCs w:val="24"/>
                <w:lang w:val="en-US" w:eastAsia="zh-CN" w:bidi="ar-SA"/>
              </w:rPr>
              <w:t>2.积极推进返乡创业示范创建工作。</w:t>
            </w:r>
            <w:r>
              <w:rPr>
                <w:rFonts w:hint="eastAsia" w:ascii="仿宋" w:hAnsi="仿宋" w:eastAsia="仿宋" w:cs="仿宋"/>
                <w:color w:val="auto"/>
                <w:sz w:val="24"/>
                <w:lang w:val="en-US" w:eastAsia="zh-CN"/>
              </w:rPr>
              <w:t>继续实施“云南省返乡农民工创业示范园区”认定工作，</w:t>
            </w:r>
            <w:r>
              <w:rPr>
                <w:rFonts w:hint="eastAsia" w:ascii="仿宋" w:hAnsi="仿宋" w:eastAsia="仿宋" w:cs="仿宋"/>
                <w:color w:val="auto"/>
                <w:kern w:val="2"/>
                <w:sz w:val="24"/>
                <w:szCs w:val="24"/>
                <w:lang w:val="en-US" w:eastAsia="zh-CN" w:bidi="ar-SA"/>
              </w:rPr>
              <w:t>每年至少认定1个省级返乡农民工创业示范园区，并从就业补助资金中给予200万元的资金奖励。</w:t>
            </w:r>
            <w:r>
              <w:rPr>
                <w:rFonts w:hint="eastAsia" w:ascii="仿宋" w:hAnsi="仿宋" w:eastAsia="仿宋" w:cs="仿宋"/>
                <w:color w:val="auto"/>
                <w:sz w:val="24"/>
              </w:rPr>
              <w:t>落实返乡创业一次性补贴、创业担保贷款、创业指导等政策措施。</w:t>
            </w:r>
            <w:r>
              <w:rPr>
                <w:rFonts w:hint="eastAsia" w:ascii="仿宋" w:hAnsi="仿宋" w:eastAsia="仿宋" w:cs="仿宋"/>
                <w:color w:val="auto"/>
                <w:kern w:val="2"/>
                <w:sz w:val="24"/>
                <w:szCs w:val="24"/>
                <w:lang w:val="en-US" w:eastAsia="zh-CN" w:bidi="ar-SA"/>
              </w:rPr>
              <w:t>支持各地认定一批州市级返乡创业示范县、示范园和示范项目，并按有关规定给予奖补。</w:t>
            </w:r>
          </w:p>
          <w:p>
            <w:pPr>
              <w:pStyle w:val="2"/>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482" w:firstLineChars="200"/>
              <w:jc w:val="both"/>
              <w:textAlignment w:val="auto"/>
              <w:outlineLvl w:val="9"/>
              <w:rPr>
                <w:rFonts w:hint="eastAsia" w:ascii="仿宋" w:hAnsi="仿宋" w:eastAsia="仿宋" w:cs="仿宋"/>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3.培育返乡入乡创业产业集群。</w:t>
            </w:r>
            <w:r>
              <w:rPr>
                <w:rFonts w:hint="eastAsia" w:ascii="仿宋" w:hAnsi="仿宋" w:eastAsia="仿宋" w:cs="仿宋"/>
                <w:color w:val="auto"/>
                <w:kern w:val="2"/>
                <w:sz w:val="24"/>
                <w:szCs w:val="24"/>
                <w:lang w:val="en-US" w:eastAsia="zh-CN" w:bidi="ar-SA"/>
              </w:rPr>
              <w:t>依托返乡入乡创业园，探索适合当地的返乡入乡创业发展路径和模式，通过承接产业转移、资源嫁接输入地市场、一二三产业融合发展等方式，培育具有区域特色、大中小企业协同联动、上下游产业全链条一体发展的返乡入乡创业产业集群。</w:t>
            </w:r>
          </w:p>
          <w:p>
            <w:pPr>
              <w:pStyle w:val="2"/>
              <w:keepNext w:val="0"/>
              <w:keepLines w:val="0"/>
              <w:pageBreakBefore w:val="0"/>
              <w:widowControl w:val="0"/>
              <w:kinsoku/>
              <w:wordWrap/>
              <w:overflowPunct/>
              <w:topLinePunct w:val="0"/>
              <w:autoSpaceDE/>
              <w:autoSpaceDN/>
              <w:bidi w:val="0"/>
              <w:adjustRightInd/>
              <w:snapToGrid/>
              <w:spacing w:after="0" w:line="400" w:lineRule="exact"/>
              <w:ind w:left="0" w:leftChars="0" w:right="0" w:rightChars="0" w:firstLine="482"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b/>
                <w:bCs/>
                <w:color w:val="auto"/>
                <w:kern w:val="2"/>
                <w:sz w:val="24"/>
                <w:szCs w:val="24"/>
                <w:lang w:val="en-US" w:eastAsia="zh-CN" w:bidi="ar-SA"/>
              </w:rPr>
              <w:t>4.强化资金支持。</w:t>
            </w:r>
            <w:r>
              <w:rPr>
                <w:rFonts w:hint="eastAsia" w:ascii="仿宋" w:hAnsi="仿宋" w:eastAsia="仿宋" w:cs="仿宋"/>
                <w:color w:val="auto"/>
                <w:kern w:val="2"/>
                <w:sz w:val="24"/>
                <w:szCs w:val="24"/>
                <w:lang w:val="en-US" w:eastAsia="zh-CN" w:bidi="ar-SA"/>
              </w:rPr>
              <w:t>允许将符合条件的返乡入乡创业园建设项目纳入地方政府专项债券支持范围。统筹利用现有资金渠道，有条件的地方可因地制宜安排资金，支持返乡入乡创业园建设。鼓励金融机构在风险可控、商业可持续的前提下，创新金融产品和业务模式，支持返乡入乡创业园建设和返乡入乡创业企业发展。</w:t>
            </w:r>
          </w:p>
        </w:tc>
      </w:tr>
    </w:tbl>
    <w:p>
      <w:pPr>
        <w:pStyle w:val="16"/>
        <w:pageBreakBefore w:val="0"/>
        <w:kinsoku/>
        <w:wordWrap/>
        <w:overflowPunct w:val="0"/>
        <w:topLinePunct w:val="0"/>
        <w:autoSpaceDE/>
        <w:autoSpaceDN/>
        <w:bidi w:val="0"/>
        <w:adjustRightInd w:val="0"/>
        <w:snapToGrid w:val="0"/>
        <w:spacing w:line="600" w:lineRule="exact"/>
        <w:textAlignment w:val="auto"/>
        <w:rPr>
          <w:rFonts w:hint="eastAsia" w:ascii="仿宋" w:hAnsi="仿宋" w:eastAsia="仿宋" w:cs="仿宋"/>
          <w:bCs/>
          <w:color w:val="auto"/>
          <w:sz w:val="32"/>
          <w:szCs w:val="32"/>
        </w:rPr>
      </w:pPr>
      <w:bookmarkStart w:id="130" w:name="_Toc23541"/>
      <w:bookmarkStart w:id="131" w:name="_Toc21306"/>
      <w:bookmarkStart w:id="132" w:name="_Toc13514"/>
      <w:r>
        <w:rPr>
          <w:rStyle w:val="17"/>
          <w:rFonts w:hint="eastAsia" w:ascii="仿宋" w:hAnsi="仿宋" w:eastAsia="仿宋" w:cs="仿宋"/>
          <w:b w:val="0"/>
          <w:bCs/>
          <w:color w:val="auto"/>
          <w:szCs w:val="32"/>
        </w:rPr>
        <w:t xml:space="preserve">   </w:t>
      </w:r>
      <w:r>
        <w:rPr>
          <w:rFonts w:hint="eastAsia" w:ascii="楷体" w:hAnsi="楷体" w:eastAsia="楷体" w:cs="楷体"/>
          <w:bCs/>
          <w:color w:val="auto"/>
          <w:kern w:val="44"/>
          <w:sz w:val="32"/>
          <w:szCs w:val="32"/>
        </w:rPr>
        <w:t xml:space="preserve"> （十九）鼓励激发各类劳动者创业活力</w:t>
      </w:r>
      <w:r>
        <w:rPr>
          <w:rFonts w:hint="eastAsia" w:ascii="仿宋" w:hAnsi="仿宋" w:eastAsia="仿宋" w:cs="仿宋"/>
          <w:bCs/>
          <w:color w:val="auto"/>
          <w:kern w:val="44"/>
          <w:sz w:val="32"/>
          <w:szCs w:val="32"/>
        </w:rPr>
        <w:t>。</w:t>
      </w:r>
      <w:bookmarkEnd w:id="130"/>
      <w:bookmarkEnd w:id="131"/>
      <w:bookmarkEnd w:id="132"/>
      <w:r>
        <w:rPr>
          <w:rFonts w:hint="eastAsia" w:ascii="仿宋" w:hAnsi="仿宋" w:eastAsia="仿宋" w:cs="仿宋"/>
          <w:color w:val="auto"/>
          <w:sz w:val="32"/>
          <w:szCs w:val="32"/>
        </w:rPr>
        <w:t>持续优化创业生态，深入推进“大众创业、万众创新”，支持和鼓励高校、科研院所等事业单位科研人员按规定创新创业，完善科研人员职务发明成果权益分享机制。激发和保护企业家精神，促进高端人才向企业集聚，推动科技和人才资源更好为企业创新服务。持续培育示范创业项目，实施云南高校毕业生创业扶持项目，促进大学生等青年群体创业，在家政、养老、托育、乡村旅游等用工规模较大的社会服务领域推出更多创业带动就业示范项目。开展系列创业品牌活动，组织开展创业型城市创建、双创活动周、创业大赛等主题活动，展示创业成果，宣讲创业故事，推介创业典型，评选创业明星，持续举办大学生、退役军人、农民工、妇女等群体的创业赛事，充分利用各类媒体加强创业政策宣传，打造品牌创业栏目，持续营造创业氛围，调动社会参与创业的积极性。</w:t>
      </w:r>
    </w:p>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Pr>
        <w:pStyle w:val="4"/>
        <w:keepLines w:val="0"/>
        <w:pageBreakBefore w:val="0"/>
        <w:kinsoku/>
        <w:wordWrap/>
        <w:overflowPunct w:val="0"/>
        <w:topLinePunct w:val="0"/>
        <w:autoSpaceDE/>
        <w:autoSpaceDN/>
        <w:bidi w:val="0"/>
        <w:adjustRightInd w:val="0"/>
        <w:snapToGrid w:val="0"/>
        <w:spacing w:before="0" w:after="0" w:line="600" w:lineRule="exact"/>
        <w:ind w:firstLine="640" w:firstLineChars="200"/>
        <w:textAlignment w:val="auto"/>
        <w:rPr>
          <w:rFonts w:hint="eastAsia" w:ascii="黑体" w:hAnsi="黑体" w:eastAsia="黑体" w:cs="黑体"/>
          <w:b w:val="0"/>
          <w:bCs/>
          <w:color w:val="auto"/>
          <w:sz w:val="32"/>
          <w:szCs w:val="32"/>
        </w:rPr>
      </w:pPr>
      <w:bookmarkStart w:id="133" w:name="_Toc106024310"/>
      <w:bookmarkStart w:id="134" w:name="_Toc855505492"/>
      <w:bookmarkStart w:id="135" w:name="_Toc55904549"/>
      <w:bookmarkStart w:id="136" w:name="_Toc1467109925"/>
      <w:bookmarkStart w:id="137" w:name="_Toc725242020"/>
      <w:bookmarkStart w:id="138" w:name="_Toc743829481"/>
      <w:bookmarkStart w:id="139" w:name="_Toc1550823816"/>
      <w:bookmarkStart w:id="140" w:name="_Toc274195090"/>
      <w:bookmarkStart w:id="141" w:name="_Toc921166408"/>
      <w:bookmarkStart w:id="142" w:name="_Toc610284836"/>
      <w:bookmarkStart w:id="143" w:name="_Toc1127694046"/>
      <w:bookmarkStart w:id="144" w:name="_Toc663616181"/>
      <w:bookmarkStart w:id="145" w:name="_Toc2046750427"/>
      <w:bookmarkStart w:id="146" w:name="_Toc981372744"/>
      <w:bookmarkStart w:id="147" w:name="_Toc1128337247"/>
      <w:bookmarkStart w:id="148" w:name="_Toc715105906"/>
      <w:bookmarkStart w:id="149" w:name="_Toc124703235"/>
      <w:r>
        <w:rPr>
          <w:rFonts w:hint="eastAsia" w:ascii="黑体" w:hAnsi="黑体" w:eastAsia="黑体" w:cs="黑体"/>
          <w:b w:val="0"/>
          <w:bCs/>
          <w:color w:val="auto"/>
          <w:sz w:val="32"/>
          <w:szCs w:val="32"/>
        </w:rPr>
        <w:t>五、</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Fonts w:hint="eastAsia" w:ascii="黑体" w:hAnsi="黑体" w:eastAsia="黑体" w:cs="黑体"/>
          <w:b w:val="0"/>
          <w:bCs/>
          <w:color w:val="auto"/>
          <w:sz w:val="32"/>
          <w:szCs w:val="32"/>
        </w:rPr>
        <w:t>完善重点群体就业支持体系</w:t>
      </w:r>
      <w:r>
        <w:rPr>
          <w:rFonts w:hint="eastAsia" w:ascii="黑体" w:hAnsi="黑体" w:eastAsia="黑体" w:cs="黑体"/>
          <w:b w:val="0"/>
          <w:bCs/>
          <w:color w:val="auto"/>
          <w:sz w:val="32"/>
          <w:szCs w:val="32"/>
          <w:lang w:val="en-US" w:eastAsia="zh-CN"/>
        </w:rPr>
        <w:t xml:space="preserve"> </w:t>
      </w:r>
      <w:r>
        <w:rPr>
          <w:rFonts w:hint="eastAsia" w:ascii="黑体" w:hAnsi="黑体" w:eastAsia="黑体" w:cs="黑体"/>
          <w:b w:val="0"/>
          <w:bCs/>
          <w:color w:val="auto"/>
          <w:sz w:val="32"/>
          <w:szCs w:val="32"/>
        </w:rPr>
        <w:t>促进多渠道就业创业</w:t>
      </w:r>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聚焦高校毕业生</w:t>
      </w:r>
      <w:r>
        <w:rPr>
          <w:rFonts w:hint="eastAsia" w:ascii="仿宋" w:hAnsi="仿宋" w:eastAsia="仿宋" w:cs="仿宋"/>
          <w:color w:val="auto"/>
          <w:sz w:val="32"/>
          <w:szCs w:val="32"/>
          <w:u w:color="000000"/>
          <w:lang w:eastAsia="zh-CN"/>
        </w:rPr>
        <w:t>、农民工、就业困难人员</w:t>
      </w:r>
      <w:r>
        <w:rPr>
          <w:rFonts w:hint="eastAsia" w:ascii="仿宋" w:hAnsi="仿宋" w:eastAsia="仿宋" w:cs="仿宋"/>
          <w:color w:val="auto"/>
          <w:sz w:val="32"/>
          <w:szCs w:val="32"/>
          <w:u w:color="000000"/>
        </w:rPr>
        <w:t>等重点群体，坚持市场化社会化就业与政府帮扶相结合，促进多渠道就业创业。</w:t>
      </w:r>
    </w:p>
    <w:p>
      <w:pPr>
        <w:pStyle w:val="16"/>
        <w:pageBreakBefore w:val="0"/>
        <w:kinsoku/>
        <w:wordWrap/>
        <w:overflowPunct w:val="0"/>
        <w:topLinePunct w:val="0"/>
        <w:autoSpaceDE/>
        <w:autoSpaceDN/>
        <w:bidi w:val="0"/>
        <w:adjustRightInd w:val="0"/>
        <w:snapToGrid w:val="0"/>
        <w:spacing w:line="600" w:lineRule="exact"/>
        <w:ind w:firstLine="640" w:firstLineChars="200"/>
        <w:textAlignment w:val="auto"/>
        <w:rPr>
          <w:rFonts w:hint="default" w:ascii="仿宋" w:hAnsi="仿宋" w:eastAsia="仿宋" w:cs="仿宋"/>
          <w:color w:val="auto"/>
          <w:sz w:val="32"/>
          <w:szCs w:val="32"/>
          <w:lang w:val="en-US" w:eastAsia="zh-CN"/>
        </w:rPr>
      </w:pPr>
      <w:bookmarkStart w:id="150" w:name="_Toc1485541780"/>
      <w:bookmarkStart w:id="151" w:name="_Toc2082359049"/>
      <w:bookmarkStart w:id="152" w:name="_Toc2079688699"/>
      <w:bookmarkStart w:id="153" w:name="_Toc1854340549"/>
      <w:bookmarkStart w:id="154" w:name="_Toc1294677656"/>
      <w:bookmarkStart w:id="155" w:name="_Toc203618829"/>
      <w:bookmarkStart w:id="156" w:name="_Toc2030737939"/>
      <w:bookmarkStart w:id="157" w:name="_Toc1426469201"/>
      <w:bookmarkStart w:id="158" w:name="_Toc337138374"/>
      <w:bookmarkStart w:id="159" w:name="_Toc389064049"/>
      <w:bookmarkStart w:id="160" w:name="_Toc1841153180"/>
      <w:bookmarkStart w:id="161" w:name="_Toc160817301"/>
      <w:bookmarkStart w:id="162" w:name="_Toc202125167"/>
      <w:bookmarkStart w:id="163" w:name="_Toc1226042830"/>
      <w:bookmarkStart w:id="164" w:name="_Toc2002437899"/>
      <w:bookmarkStart w:id="165" w:name="_Toc216736580"/>
      <w:bookmarkStart w:id="166" w:name="_Toc747706477"/>
      <w:r>
        <w:rPr>
          <w:rFonts w:hint="eastAsia" w:ascii="楷体" w:hAnsi="楷体" w:eastAsia="楷体" w:cs="楷体"/>
          <w:bCs/>
          <w:color w:val="auto"/>
          <w:kern w:val="44"/>
          <w:sz w:val="32"/>
          <w:szCs w:val="32"/>
        </w:rPr>
        <w:t>（二十）持续做好高校毕业生就业工作</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Fonts w:hint="eastAsia" w:ascii="仿宋" w:hAnsi="仿宋" w:eastAsia="仿宋" w:cs="仿宋"/>
          <w:bCs/>
          <w:color w:val="auto"/>
          <w:kern w:val="44"/>
          <w:sz w:val="32"/>
          <w:szCs w:val="32"/>
        </w:rPr>
        <w:t>。</w:t>
      </w:r>
      <w:r>
        <w:rPr>
          <w:rFonts w:hint="eastAsia" w:ascii="仿宋" w:hAnsi="仿宋" w:eastAsia="仿宋" w:cs="仿宋"/>
          <w:color w:val="auto"/>
          <w:sz w:val="32"/>
          <w:szCs w:val="32"/>
        </w:rPr>
        <w:t>拓宽就业渠道，支持科技含量高的智力密集型产业特别是战略性新兴产业、现代服务业以及各类新业态、新模式加快发展，开发更多适合高校毕业生</w:t>
      </w:r>
      <w:r>
        <w:rPr>
          <w:rFonts w:hint="eastAsia" w:ascii="仿宋" w:hAnsi="仿宋" w:eastAsia="仿宋" w:cs="仿宋"/>
          <w:color w:val="auto"/>
          <w:sz w:val="32"/>
          <w:szCs w:val="32"/>
          <w:lang w:eastAsia="zh-CN"/>
        </w:rPr>
        <w:t>（含技工院校高级工以上层次毕业生）</w:t>
      </w:r>
      <w:r>
        <w:rPr>
          <w:rFonts w:hint="eastAsia" w:ascii="仿宋" w:hAnsi="仿宋" w:eastAsia="仿宋" w:cs="仿宋"/>
          <w:color w:val="auto"/>
          <w:sz w:val="32"/>
          <w:szCs w:val="32"/>
        </w:rPr>
        <w:t>的高质量就业岗位。统筹用好市场吸纳、创业引领、基层成长、见习推进等手段，千方百计扩大就业岗位。</w:t>
      </w:r>
      <w:r>
        <w:rPr>
          <w:rFonts w:hint="eastAsia" w:ascii="仿宋" w:hAnsi="仿宋" w:eastAsia="仿宋" w:cs="仿宋"/>
          <w:color w:val="auto"/>
          <w:sz w:val="32"/>
          <w:szCs w:val="32"/>
          <w:lang w:eastAsia="zh-CN"/>
        </w:rPr>
        <w:t>积极引导高校毕业生转变就业观念，</w:t>
      </w:r>
      <w:r>
        <w:rPr>
          <w:rFonts w:hint="eastAsia" w:ascii="仿宋" w:hAnsi="仿宋" w:eastAsia="仿宋" w:cs="仿宋"/>
          <w:color w:val="auto"/>
          <w:sz w:val="32"/>
          <w:szCs w:val="32"/>
        </w:rPr>
        <w:t>支持高校毕业生参加实习实训、就业见习和职业培训，争创国家级就业见习示范单位。</w:t>
      </w:r>
      <w:r>
        <w:rPr>
          <w:rFonts w:hint="eastAsia" w:ascii="仿宋" w:hAnsi="仿宋" w:eastAsia="仿宋" w:cs="仿宋"/>
          <w:color w:val="auto"/>
          <w:sz w:val="32"/>
          <w:szCs w:val="32"/>
          <w:lang w:eastAsia="zh-CN"/>
        </w:rPr>
        <w:t>引导和鼓励高校毕业生学历教育与技能培养融合发展。</w:t>
      </w:r>
      <w:r>
        <w:rPr>
          <w:rFonts w:hint="eastAsia" w:ascii="仿宋" w:hAnsi="仿宋" w:eastAsia="仿宋" w:cs="仿宋"/>
          <w:color w:val="auto"/>
          <w:sz w:val="32"/>
          <w:szCs w:val="32"/>
        </w:rPr>
        <w:t>健全校内校外资源协同共享的高校毕业生就业服务体系，完善多元化服务机制，将留学回国毕业生及时纳入公共就业人才服务。</w:t>
      </w:r>
      <w:r>
        <w:rPr>
          <w:rFonts w:hint="eastAsia" w:ascii="仿宋" w:hAnsi="仿宋" w:eastAsia="仿宋" w:cs="仿宋"/>
          <w:color w:val="auto"/>
          <w:sz w:val="32"/>
          <w:szCs w:val="32"/>
          <w:lang w:eastAsia="zh-CN"/>
        </w:rPr>
        <w:t>推动</w:t>
      </w:r>
      <w:r>
        <w:rPr>
          <w:rFonts w:hint="eastAsia" w:ascii="仿宋" w:hAnsi="仿宋" w:eastAsia="仿宋" w:cs="仿宋"/>
          <w:color w:val="auto"/>
          <w:sz w:val="32"/>
          <w:szCs w:val="32"/>
        </w:rPr>
        <w:t>就业服务</w:t>
      </w:r>
      <w:r>
        <w:rPr>
          <w:rFonts w:hint="eastAsia" w:ascii="仿宋" w:hAnsi="仿宋" w:eastAsia="仿宋" w:cs="仿宋"/>
          <w:color w:val="auto"/>
          <w:sz w:val="32"/>
          <w:szCs w:val="32"/>
          <w:lang w:eastAsia="zh-CN"/>
        </w:rPr>
        <w:t>提质增效</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创新人才吸引政策，引导</w:t>
      </w:r>
      <w:r>
        <w:rPr>
          <w:rFonts w:hint="eastAsia" w:ascii="仿宋" w:hAnsi="仿宋" w:eastAsia="仿宋" w:cs="仿宋"/>
          <w:color w:val="auto"/>
          <w:sz w:val="32"/>
          <w:szCs w:val="32"/>
        </w:rPr>
        <w:t>毕业生在滇就业创业。</w:t>
      </w:r>
    </w:p>
    <w:tbl>
      <w:tblPr>
        <w:tblStyle w:val="12"/>
        <w:tblW w:w="9072" w:type="dxa"/>
        <w:jc w:val="center"/>
        <w:tblInd w:w="0" w:type="dxa"/>
        <w:tblLayout w:type="fixed"/>
        <w:tblCellMar>
          <w:top w:w="0" w:type="dxa"/>
          <w:left w:w="0" w:type="dxa"/>
          <w:bottom w:w="0" w:type="dxa"/>
          <w:right w:w="0" w:type="dxa"/>
        </w:tblCellMar>
      </w:tblPr>
      <w:tblGrid>
        <w:gridCol w:w="9072"/>
      </w:tblGrid>
      <w:tr>
        <w:tblPrEx>
          <w:tblLayout w:type="fixed"/>
          <w:tblCellMar>
            <w:top w:w="0" w:type="dxa"/>
            <w:left w:w="0" w:type="dxa"/>
            <w:bottom w:w="0" w:type="dxa"/>
            <w:right w:w="0" w:type="dxa"/>
          </w:tblCellMar>
        </w:tblPrEx>
        <w:trPr>
          <w:trHeight w:val="558" w:hRule="atLeast"/>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color w:val="auto"/>
                <w:kern w:val="0"/>
                <w:sz w:val="28"/>
                <w:szCs w:val="28"/>
                <w:lang w:eastAsia="zh-CN"/>
              </w:rPr>
            </w:pPr>
            <w:r>
              <w:rPr>
                <w:rFonts w:hint="eastAsia" w:ascii="仿宋" w:hAnsi="仿宋" w:eastAsia="仿宋" w:cs="仿宋"/>
                <w:b/>
                <w:color w:val="auto"/>
                <w:kern w:val="0"/>
                <w:sz w:val="28"/>
                <w:szCs w:val="28"/>
              </w:rPr>
              <w:t>专栏</w:t>
            </w:r>
            <w:r>
              <w:rPr>
                <w:rFonts w:hint="eastAsia" w:ascii="仿宋" w:hAnsi="仿宋" w:eastAsia="仿宋" w:cs="仿宋"/>
                <w:b/>
                <w:color w:val="auto"/>
                <w:kern w:val="0"/>
                <w:sz w:val="28"/>
                <w:szCs w:val="28"/>
                <w:lang w:val="en-US" w:eastAsia="zh-CN"/>
              </w:rPr>
              <w:t>7</w:t>
            </w:r>
            <w:r>
              <w:rPr>
                <w:rFonts w:hint="eastAsia" w:ascii="仿宋" w:hAnsi="仿宋" w:eastAsia="仿宋" w:cs="仿宋"/>
                <w:b/>
                <w:color w:val="auto"/>
                <w:kern w:val="0"/>
                <w:sz w:val="28"/>
                <w:szCs w:val="28"/>
              </w:rPr>
              <w:t>：实施</w:t>
            </w:r>
            <w:r>
              <w:rPr>
                <w:rFonts w:hint="eastAsia" w:ascii="仿宋" w:hAnsi="仿宋" w:eastAsia="仿宋" w:cs="仿宋"/>
                <w:b/>
                <w:color w:val="auto"/>
                <w:kern w:val="0"/>
                <w:sz w:val="28"/>
                <w:szCs w:val="28"/>
                <w:lang w:eastAsia="zh-CN"/>
              </w:rPr>
              <w:t>促进</w:t>
            </w:r>
            <w:r>
              <w:rPr>
                <w:rFonts w:hint="eastAsia" w:ascii="仿宋" w:hAnsi="仿宋" w:eastAsia="仿宋" w:cs="仿宋"/>
                <w:b/>
                <w:color w:val="auto"/>
                <w:kern w:val="0"/>
                <w:sz w:val="28"/>
                <w:szCs w:val="28"/>
              </w:rPr>
              <w:t>高校毕业生就业创业</w:t>
            </w:r>
            <w:r>
              <w:rPr>
                <w:rFonts w:hint="eastAsia" w:ascii="仿宋" w:hAnsi="仿宋" w:eastAsia="仿宋" w:cs="仿宋"/>
                <w:b/>
                <w:color w:val="auto"/>
                <w:kern w:val="0"/>
                <w:sz w:val="28"/>
                <w:szCs w:val="28"/>
                <w:lang w:eastAsia="zh-CN"/>
              </w:rPr>
              <w:t>计划</w:t>
            </w:r>
          </w:p>
        </w:tc>
      </w:tr>
      <w:tr>
        <w:tblPrEx>
          <w:tblLayout w:type="fixed"/>
          <w:tblCellMar>
            <w:top w:w="0" w:type="dxa"/>
            <w:left w:w="0" w:type="dxa"/>
            <w:bottom w:w="0" w:type="dxa"/>
            <w:right w:w="0" w:type="dxa"/>
          </w:tblCellMar>
        </w:tblPrEx>
        <w:trPr>
          <w:trHeight w:val="2645" w:hRule="atLeast"/>
          <w:jc w:val="center"/>
        </w:trPr>
        <w:tc>
          <w:tcPr>
            <w:tcW w:w="9072"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仿宋" w:hAnsi="仿宋" w:eastAsia="仿宋" w:cs="仿宋"/>
                <w:color w:val="auto"/>
                <w:sz w:val="24"/>
                <w:szCs w:val="24"/>
              </w:rPr>
            </w:pPr>
            <w:r>
              <w:rPr>
                <w:rFonts w:hint="eastAsia" w:ascii="仿宋" w:hAnsi="仿宋" w:eastAsia="仿宋" w:cs="仿宋"/>
                <w:b/>
                <w:color w:val="auto"/>
                <w:sz w:val="24"/>
                <w:szCs w:val="24"/>
              </w:rPr>
              <w:t>1.</w:t>
            </w:r>
            <w:r>
              <w:rPr>
                <w:rFonts w:hint="eastAsia" w:ascii="仿宋" w:hAnsi="仿宋" w:eastAsia="仿宋" w:cs="仿宋"/>
                <w:b/>
                <w:color w:val="auto"/>
                <w:sz w:val="24"/>
                <w:szCs w:val="24"/>
                <w:lang w:eastAsia="zh-CN"/>
              </w:rPr>
              <w:t>实施</w:t>
            </w:r>
            <w:r>
              <w:rPr>
                <w:rFonts w:hint="eastAsia" w:ascii="仿宋" w:hAnsi="仿宋" w:eastAsia="仿宋" w:cs="仿宋"/>
                <w:b/>
                <w:color w:val="auto"/>
                <w:sz w:val="24"/>
                <w:szCs w:val="24"/>
              </w:rPr>
              <w:t>岗位拓展</w:t>
            </w:r>
            <w:r>
              <w:rPr>
                <w:rFonts w:hint="eastAsia" w:ascii="仿宋" w:hAnsi="仿宋" w:eastAsia="仿宋" w:cs="仿宋"/>
                <w:b/>
                <w:color w:val="auto"/>
                <w:sz w:val="24"/>
                <w:szCs w:val="24"/>
                <w:lang w:eastAsia="zh-CN"/>
              </w:rPr>
              <w:t>计划</w:t>
            </w:r>
            <w:r>
              <w:rPr>
                <w:rFonts w:hint="eastAsia" w:ascii="仿宋" w:hAnsi="仿宋" w:eastAsia="仿宋" w:cs="仿宋"/>
                <w:b/>
                <w:color w:val="auto"/>
                <w:sz w:val="24"/>
                <w:szCs w:val="24"/>
              </w:rPr>
              <w:t>。</w:t>
            </w:r>
            <w:r>
              <w:rPr>
                <w:rFonts w:hint="eastAsia" w:ascii="仿宋" w:hAnsi="仿宋" w:eastAsia="仿宋" w:cs="仿宋"/>
                <w:color w:val="auto"/>
                <w:sz w:val="24"/>
                <w:szCs w:val="24"/>
              </w:rPr>
              <w:t>实施高校毕业生中小微企业就业支持计划，指导</w:t>
            </w:r>
            <w:r>
              <w:rPr>
                <w:rFonts w:hint="eastAsia" w:ascii="仿宋" w:hAnsi="仿宋" w:eastAsia="仿宋" w:cs="仿宋"/>
                <w:color w:val="auto"/>
                <w:sz w:val="24"/>
                <w:szCs w:val="24"/>
                <w:lang w:eastAsia="zh-CN"/>
              </w:rPr>
              <w:t>全省</w:t>
            </w:r>
            <w:r>
              <w:rPr>
                <w:rFonts w:hint="eastAsia" w:ascii="仿宋" w:hAnsi="仿宋" w:eastAsia="仿宋" w:cs="仿宋"/>
                <w:color w:val="auto"/>
                <w:sz w:val="24"/>
                <w:szCs w:val="24"/>
              </w:rPr>
              <w:t>国有企业健全公开、竞争、择优的市场化招聘制度。实施好“三支一扶”计划、农村教师特岗计划、大学生志愿服务西部计划等高校毕业生基层服务项目。开发一批社区服务、科研助理、社会组织就业岗位。支持大学生参军入伍，提高高校毕业生新兵补充比例。</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仿宋" w:hAnsi="仿宋" w:eastAsia="仿宋" w:cs="仿宋"/>
                <w:color w:val="auto"/>
                <w:sz w:val="24"/>
                <w:szCs w:val="24"/>
              </w:rPr>
            </w:pPr>
            <w:r>
              <w:rPr>
                <w:rFonts w:hint="eastAsia" w:ascii="仿宋" w:hAnsi="仿宋" w:eastAsia="仿宋" w:cs="仿宋"/>
                <w:b/>
                <w:color w:val="auto"/>
                <w:sz w:val="24"/>
                <w:szCs w:val="24"/>
              </w:rPr>
              <w:t>2.</w:t>
            </w:r>
            <w:r>
              <w:rPr>
                <w:rFonts w:hint="eastAsia" w:ascii="仿宋" w:hAnsi="仿宋" w:eastAsia="仿宋" w:cs="仿宋"/>
                <w:b/>
                <w:color w:val="auto"/>
                <w:sz w:val="24"/>
                <w:szCs w:val="24"/>
                <w:lang w:eastAsia="zh-CN"/>
              </w:rPr>
              <w:t>实施</w:t>
            </w:r>
            <w:r>
              <w:rPr>
                <w:rFonts w:hint="eastAsia" w:ascii="仿宋" w:hAnsi="仿宋" w:eastAsia="仿宋" w:cs="仿宋"/>
                <w:b/>
                <w:color w:val="auto"/>
                <w:sz w:val="24"/>
                <w:szCs w:val="24"/>
              </w:rPr>
              <w:t>就业能力提升</w:t>
            </w:r>
            <w:r>
              <w:rPr>
                <w:rFonts w:hint="eastAsia" w:ascii="仿宋" w:hAnsi="仿宋" w:eastAsia="仿宋" w:cs="仿宋"/>
                <w:b/>
                <w:color w:val="auto"/>
                <w:sz w:val="24"/>
                <w:szCs w:val="24"/>
                <w:lang w:eastAsia="zh-CN"/>
              </w:rPr>
              <w:t>计划</w:t>
            </w:r>
            <w:r>
              <w:rPr>
                <w:rFonts w:hint="eastAsia" w:ascii="仿宋" w:hAnsi="仿宋" w:eastAsia="仿宋" w:cs="仿宋"/>
                <w:b/>
                <w:color w:val="auto"/>
                <w:sz w:val="24"/>
                <w:szCs w:val="24"/>
              </w:rPr>
              <w:t>。</w:t>
            </w:r>
            <w:r>
              <w:rPr>
                <w:rFonts w:hint="eastAsia" w:ascii="仿宋" w:hAnsi="仿宋" w:eastAsia="仿宋" w:cs="仿宋"/>
                <w:color w:val="auto"/>
                <w:sz w:val="24"/>
                <w:szCs w:val="24"/>
              </w:rPr>
              <w:t>聚焦高校毕业生就业急需，拓展新职业培训，加快推进高校毕业生高端职业培训项目，开发云计算、大数据、物联网等领域培训项目，积极开展</w:t>
            </w:r>
            <w:r>
              <w:rPr>
                <w:rFonts w:hint="eastAsia" w:ascii="仿宋" w:hAnsi="仿宋" w:eastAsia="仿宋" w:cs="仿宋"/>
                <w:color w:val="auto"/>
                <w:sz w:val="24"/>
                <w:szCs w:val="24"/>
                <w:lang w:eastAsia="zh-CN"/>
              </w:rPr>
              <w:t>有针对性的</w:t>
            </w:r>
            <w:r>
              <w:rPr>
                <w:rFonts w:hint="eastAsia" w:ascii="仿宋" w:hAnsi="仿宋" w:eastAsia="仿宋" w:cs="仿宋"/>
                <w:color w:val="auto"/>
                <w:sz w:val="24"/>
                <w:szCs w:val="24"/>
              </w:rPr>
              <w:t>高校毕业生能力提升行动、创业引领行动、校园精准服务行动、就业帮扶行动和权益保护行动，提升毕业生职业发展能力。继续做好“高校毕业生技能就业专项活动”和“大学生创业培训年度计划”，积极组织毕业生开展职业技能培训，提高高校毕业生就业创业能力。到2025年，累计培训10万人次以上。</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仿宋" w:hAnsi="仿宋" w:eastAsia="仿宋" w:cs="仿宋"/>
                <w:color w:val="auto"/>
                <w:sz w:val="24"/>
                <w:szCs w:val="24"/>
                <w:lang w:val="en-US" w:eastAsia="zh-CN"/>
              </w:rPr>
            </w:pPr>
            <w:r>
              <w:rPr>
                <w:rFonts w:hint="eastAsia" w:ascii="仿宋" w:hAnsi="仿宋" w:eastAsia="仿宋" w:cs="仿宋"/>
                <w:b/>
                <w:color w:val="auto"/>
                <w:sz w:val="24"/>
                <w:szCs w:val="24"/>
              </w:rPr>
              <w:t>3.</w:t>
            </w:r>
            <w:r>
              <w:rPr>
                <w:rFonts w:hint="eastAsia" w:ascii="仿宋" w:hAnsi="仿宋" w:eastAsia="仿宋" w:cs="仿宋"/>
                <w:b/>
                <w:color w:val="auto"/>
                <w:sz w:val="24"/>
                <w:szCs w:val="24"/>
                <w:lang w:eastAsia="zh-CN"/>
              </w:rPr>
              <w:t>实施</w:t>
            </w:r>
            <w:r>
              <w:rPr>
                <w:rFonts w:hint="eastAsia" w:ascii="仿宋" w:hAnsi="仿宋" w:eastAsia="仿宋" w:cs="仿宋"/>
                <w:b/>
                <w:color w:val="auto"/>
                <w:sz w:val="24"/>
                <w:szCs w:val="24"/>
              </w:rPr>
              <w:t>精准服务</w:t>
            </w:r>
            <w:r>
              <w:rPr>
                <w:rFonts w:hint="eastAsia" w:ascii="仿宋" w:hAnsi="仿宋" w:eastAsia="仿宋" w:cs="仿宋"/>
                <w:b/>
                <w:color w:val="auto"/>
                <w:sz w:val="24"/>
                <w:szCs w:val="24"/>
                <w:lang w:eastAsia="zh-CN"/>
              </w:rPr>
              <w:t>计划</w:t>
            </w:r>
            <w:r>
              <w:rPr>
                <w:rFonts w:hint="eastAsia" w:ascii="仿宋" w:hAnsi="仿宋" w:eastAsia="仿宋" w:cs="仿宋"/>
                <w:color w:val="auto"/>
                <w:sz w:val="24"/>
                <w:szCs w:val="24"/>
              </w:rPr>
              <w:t>。举办全省大学生职业规划大赛</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组建专业化就业创业导师队伍，推出线上线下直播课，为高校毕业生提供职业规划、职业体验、求职指导。持续开展大中城市联合招</w:t>
            </w:r>
            <w:r>
              <w:rPr>
                <w:rFonts w:hint="eastAsia" w:ascii="仿宋" w:hAnsi="仿宋" w:eastAsia="仿宋" w:cs="仿宋"/>
                <w:color w:val="auto"/>
                <w:sz w:val="24"/>
                <w:szCs w:val="24"/>
                <w:lang w:val="en-US" w:eastAsia="zh-CN"/>
              </w:rPr>
              <w:t>聘、“24365校园网络招聘”、“千校万岗”、中小微企业专场招聘等系列活动。</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b/>
                <w:color w:val="auto"/>
                <w:sz w:val="24"/>
                <w:szCs w:val="24"/>
                <w:lang w:val="en-US" w:eastAsia="zh-CN"/>
              </w:rPr>
              <w:t>4.实施就业帮扶计划。</w:t>
            </w:r>
            <w:r>
              <w:rPr>
                <w:rFonts w:hint="eastAsia" w:ascii="仿宋" w:hAnsi="仿宋" w:eastAsia="仿宋" w:cs="仿宋"/>
                <w:color w:val="auto"/>
                <w:sz w:val="24"/>
                <w:szCs w:val="24"/>
                <w:lang w:val="en-US" w:eastAsia="zh-CN"/>
              </w:rPr>
              <w:t>继续开展“云南省离校未就业大学生就业帮扶行动”，</w:t>
            </w:r>
            <w:r>
              <w:rPr>
                <w:rFonts w:hint="default" w:ascii="仿宋" w:hAnsi="仿宋" w:eastAsia="仿宋" w:cs="仿宋"/>
                <w:color w:val="auto"/>
                <w:sz w:val="24"/>
                <w:szCs w:val="24"/>
                <w:lang w:val="en-US" w:eastAsia="zh-CN"/>
              </w:rPr>
              <w:t>对照“离校未就业高校毕业生管理系统”，逐一联系</w:t>
            </w:r>
            <w:r>
              <w:rPr>
                <w:rFonts w:hint="eastAsia" w:ascii="仿宋" w:hAnsi="仿宋" w:eastAsia="仿宋" w:cs="仿宋"/>
                <w:color w:val="auto"/>
                <w:sz w:val="24"/>
                <w:szCs w:val="24"/>
                <w:lang w:val="en-US" w:eastAsia="zh-CN"/>
              </w:rPr>
              <w:t>了解毕业生</w:t>
            </w:r>
            <w:r>
              <w:rPr>
                <w:rFonts w:hint="default" w:ascii="仿宋" w:hAnsi="仿宋" w:eastAsia="仿宋" w:cs="仿宋"/>
                <w:color w:val="auto"/>
                <w:sz w:val="24"/>
                <w:szCs w:val="24"/>
                <w:lang w:val="en-US" w:eastAsia="zh-CN"/>
              </w:rPr>
              <w:t>就业状况</w:t>
            </w:r>
            <w:r>
              <w:rPr>
                <w:rFonts w:hint="eastAsia" w:ascii="仿宋" w:hAnsi="仿宋" w:eastAsia="仿宋" w:cs="仿宋"/>
                <w:color w:val="auto"/>
                <w:sz w:val="24"/>
                <w:szCs w:val="24"/>
                <w:lang w:val="en-US" w:eastAsia="zh-CN"/>
              </w:rPr>
              <w:t>和培训、岗位</w:t>
            </w:r>
            <w:r>
              <w:rPr>
                <w:rFonts w:hint="default" w:ascii="仿宋" w:hAnsi="仿宋" w:eastAsia="仿宋" w:cs="仿宋"/>
                <w:color w:val="auto"/>
                <w:sz w:val="24"/>
                <w:szCs w:val="24"/>
                <w:lang w:val="en-US" w:eastAsia="zh-CN"/>
              </w:rPr>
              <w:t>需求</w:t>
            </w:r>
            <w:r>
              <w:rPr>
                <w:rFonts w:hint="eastAsia" w:ascii="仿宋" w:hAnsi="仿宋" w:eastAsia="仿宋" w:cs="仿宋"/>
                <w:color w:val="auto"/>
                <w:sz w:val="24"/>
                <w:szCs w:val="24"/>
                <w:lang w:val="en-US" w:eastAsia="zh-CN"/>
              </w:rPr>
              <w:t>，为他们提供就业“服务包”，包括</w:t>
            </w:r>
            <w:r>
              <w:rPr>
                <w:rFonts w:hint="default" w:ascii="仿宋" w:hAnsi="仿宋" w:eastAsia="仿宋" w:cs="仿宋"/>
                <w:color w:val="auto"/>
                <w:sz w:val="24"/>
                <w:szCs w:val="24"/>
                <w:lang w:val="en-US" w:eastAsia="zh-CN"/>
              </w:rPr>
              <w:t>政策清单、招聘信息、培训项目、见习岗位等，对有求职意愿的，</w:t>
            </w:r>
            <w:r>
              <w:rPr>
                <w:rFonts w:hint="eastAsia" w:ascii="仿宋" w:hAnsi="仿宋" w:eastAsia="仿宋" w:cs="仿宋"/>
                <w:color w:val="auto"/>
                <w:sz w:val="24"/>
                <w:szCs w:val="24"/>
                <w:lang w:val="en-US" w:eastAsia="zh-CN"/>
              </w:rPr>
              <w:t>要</w:t>
            </w:r>
            <w:r>
              <w:rPr>
                <w:rFonts w:hint="default" w:ascii="仿宋" w:hAnsi="仿宋" w:eastAsia="仿宋" w:cs="仿宋"/>
                <w:color w:val="auto"/>
                <w:sz w:val="24"/>
                <w:szCs w:val="24"/>
                <w:lang w:val="en-US" w:eastAsia="zh-CN"/>
              </w:rPr>
              <w:t>提供不少于</w:t>
            </w:r>
            <w:r>
              <w:rPr>
                <w:rFonts w:hint="eastAsia" w:ascii="仿宋" w:hAnsi="仿宋" w:eastAsia="仿宋" w:cs="仿宋"/>
                <w:color w:val="auto"/>
                <w:sz w:val="24"/>
                <w:szCs w:val="24"/>
                <w:lang w:val="en-US" w:eastAsia="zh-CN"/>
              </w:rPr>
              <w:t>1次职业指导、</w:t>
            </w:r>
            <w:r>
              <w:rPr>
                <w:rFonts w:hint="default" w:ascii="仿宋" w:hAnsi="仿宋" w:eastAsia="仿宋" w:cs="仿宋"/>
                <w:color w:val="auto"/>
                <w:sz w:val="24"/>
                <w:szCs w:val="24"/>
                <w:lang w:val="en-US" w:eastAsia="zh-CN"/>
              </w:rPr>
              <w:t>3次有针对性的岗位</w:t>
            </w:r>
            <w:r>
              <w:rPr>
                <w:rFonts w:hint="eastAsia" w:ascii="仿宋" w:hAnsi="仿宋" w:eastAsia="仿宋" w:cs="仿宋"/>
                <w:color w:val="auto"/>
                <w:sz w:val="24"/>
                <w:szCs w:val="24"/>
                <w:lang w:val="en-US" w:eastAsia="zh-CN"/>
              </w:rPr>
              <w:t>推介、1次职业培训和1次就业见习机会，做到“4个100%”，即确保应届离校未就业高校毕业生实现100%登记入库、100%联系到人、100%提供个性化就业服务、有就业意愿的脱贫人口家庭毕业生100%实现就业。</w:t>
            </w:r>
          </w:p>
        </w:tc>
      </w:tr>
    </w:tbl>
    <w:p>
      <w:pPr>
        <w:pStyle w:val="16"/>
        <w:pageBreakBefore w:val="0"/>
        <w:kinsoku/>
        <w:wordWrap/>
        <w:overflowPunct w:val="0"/>
        <w:topLinePunct w:val="0"/>
        <w:autoSpaceDE/>
        <w:autoSpaceDN/>
        <w:bidi w:val="0"/>
        <w:adjustRightInd w:val="0"/>
        <w:snapToGrid w:val="0"/>
        <w:spacing w:line="600" w:lineRule="exact"/>
        <w:ind w:firstLine="640" w:firstLineChars="200"/>
        <w:textAlignment w:val="auto"/>
        <w:rPr>
          <w:rFonts w:hint="eastAsia" w:ascii="仿宋" w:hAnsi="仿宋" w:eastAsia="仿宋" w:cs="仿宋"/>
          <w:color w:val="auto"/>
          <w:sz w:val="32"/>
          <w:szCs w:val="32"/>
        </w:rPr>
      </w:pPr>
      <w:bookmarkStart w:id="167" w:name="_Toc774545310"/>
      <w:bookmarkStart w:id="168" w:name="_Toc648594229"/>
      <w:bookmarkStart w:id="169" w:name="_Toc1528635937"/>
      <w:bookmarkStart w:id="170" w:name="_Toc1698647155"/>
      <w:bookmarkStart w:id="171" w:name="_Toc2000862051"/>
      <w:bookmarkStart w:id="172" w:name="_Toc821298133"/>
      <w:bookmarkStart w:id="173" w:name="_Toc869965475"/>
      <w:bookmarkStart w:id="174" w:name="_Toc1740780786"/>
      <w:bookmarkStart w:id="175" w:name="_Toc1773224815"/>
      <w:bookmarkStart w:id="176" w:name="_Toc1864277187"/>
      <w:bookmarkStart w:id="177" w:name="_Toc1937724914"/>
      <w:bookmarkStart w:id="178" w:name="_Toc1200704774"/>
      <w:bookmarkStart w:id="179" w:name="_Toc2097927406"/>
      <w:bookmarkStart w:id="180" w:name="_Toc839508153"/>
      <w:bookmarkStart w:id="181" w:name="_Toc1414714983"/>
      <w:bookmarkStart w:id="182" w:name="_Toc735209644"/>
      <w:bookmarkStart w:id="183" w:name="_Toc220506564"/>
      <w:bookmarkStart w:id="184" w:name="_Toc878266817"/>
      <w:bookmarkStart w:id="185" w:name="_Toc1356734353"/>
      <w:bookmarkStart w:id="186" w:name="_Toc287802328"/>
      <w:bookmarkStart w:id="187" w:name="_Toc454222361"/>
      <w:bookmarkStart w:id="188" w:name="_Toc896542566"/>
      <w:bookmarkStart w:id="189" w:name="_Toc650461046"/>
      <w:bookmarkStart w:id="190" w:name="_Toc1953393259"/>
      <w:bookmarkStart w:id="191" w:name="_Toc2124311197"/>
      <w:bookmarkStart w:id="192" w:name="_Toc1832437627"/>
      <w:bookmarkStart w:id="193" w:name="_Toc124568079"/>
      <w:bookmarkStart w:id="194" w:name="_Toc1860583996"/>
      <w:bookmarkStart w:id="195" w:name="_Toc197931878"/>
      <w:bookmarkStart w:id="196" w:name="_Toc278915280"/>
      <w:r>
        <w:rPr>
          <w:rFonts w:hint="eastAsia" w:ascii="仿宋" w:hAnsi="仿宋" w:eastAsia="仿宋" w:cs="仿宋"/>
          <w:color w:val="auto"/>
          <w:sz w:val="32"/>
          <w:szCs w:val="32"/>
        </w:rPr>
        <w:t>持续开展“百日千万网络招聘”“千校万岗·就业有位来”等招聘活动，深入开展线上、线下系列招聘会，扩大招聘信息覆盖面。加强大学生求职指导，举办云南省大学生模拟求职大赛。培育大学生等青年群体正确的就业观、择业观，引导树立健康、积极、理性的就业心态。完善离校未就业高校毕业生实名登记服务机制，加强对高校毕业生离校后的就业支持和服务，做到就业服务“不断线”，“一对一”跟踪帮扶就业。运用“互联网+”思维创新高校毕业生就业创业服务方式。深入实施“大学生创新创业计划”，</w:t>
      </w:r>
      <w:r>
        <w:rPr>
          <w:rFonts w:hint="eastAsia" w:ascii="仿宋" w:hAnsi="仿宋" w:eastAsia="仿宋" w:cs="仿宋"/>
          <w:color w:val="auto"/>
          <w:sz w:val="32"/>
          <w:szCs w:val="32"/>
          <w:lang w:eastAsia="zh-CN"/>
        </w:rPr>
        <w:t>支持校园创业平台提质创优，</w:t>
      </w:r>
      <w:r>
        <w:rPr>
          <w:rFonts w:hint="eastAsia" w:ascii="仿宋" w:hAnsi="仿宋" w:eastAsia="仿宋" w:cs="仿宋"/>
          <w:color w:val="auto"/>
          <w:sz w:val="32"/>
          <w:szCs w:val="32"/>
        </w:rPr>
        <w:t>鼓励和支持更多高校毕业生自主创业，推进创业带动就业。落实求职补贴、创业补贴、灵活就业社保补贴等政策。开展“最美基层高校毕业生”学习宣传活动。</w:t>
      </w:r>
    </w:p>
    <w:p>
      <w:pPr>
        <w:pStyle w:val="16"/>
        <w:pageBreakBefore w:val="0"/>
        <w:kinsoku/>
        <w:wordWrap/>
        <w:overflowPunct w:val="0"/>
        <w:topLinePunct w:val="0"/>
        <w:autoSpaceDE/>
        <w:autoSpaceDN/>
        <w:bidi w:val="0"/>
        <w:adjustRightInd w:val="0"/>
        <w:snapToGrid w:val="0"/>
        <w:spacing w:line="600" w:lineRule="exact"/>
        <w:ind w:firstLine="640" w:firstLineChars="200"/>
        <w:textAlignment w:val="auto"/>
        <w:rPr>
          <w:rFonts w:hint="eastAsia" w:ascii="仿宋" w:hAnsi="仿宋" w:eastAsia="仿宋" w:cs="仿宋"/>
          <w:color w:val="auto"/>
          <w:sz w:val="32"/>
          <w:szCs w:val="32"/>
        </w:rPr>
      </w:pPr>
    </w:p>
    <w:tbl>
      <w:tblPr>
        <w:tblStyle w:val="12"/>
        <w:tblW w:w="9072" w:type="dxa"/>
        <w:jc w:val="center"/>
        <w:tblInd w:w="0" w:type="dxa"/>
        <w:tblLayout w:type="fixed"/>
        <w:tblCellMar>
          <w:top w:w="0" w:type="dxa"/>
          <w:left w:w="0" w:type="dxa"/>
          <w:bottom w:w="0" w:type="dxa"/>
          <w:right w:w="0" w:type="dxa"/>
        </w:tblCellMar>
      </w:tblPr>
      <w:tblGrid>
        <w:gridCol w:w="9072"/>
      </w:tblGrid>
      <w:tr>
        <w:tblPrEx>
          <w:tblLayout w:type="fixed"/>
          <w:tblCellMar>
            <w:top w:w="0" w:type="dxa"/>
            <w:left w:w="0" w:type="dxa"/>
            <w:bottom w:w="0" w:type="dxa"/>
            <w:right w:w="0" w:type="dxa"/>
          </w:tblCellMar>
        </w:tblPrEx>
        <w:trPr>
          <w:trHeight w:val="558" w:hRule="atLeast"/>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color w:val="auto"/>
                <w:kern w:val="0"/>
                <w:sz w:val="28"/>
                <w:szCs w:val="28"/>
                <w:lang w:eastAsia="zh-CN"/>
              </w:rPr>
            </w:pPr>
            <w:r>
              <w:rPr>
                <w:rFonts w:hint="eastAsia" w:ascii="仿宋" w:hAnsi="仿宋" w:eastAsia="仿宋" w:cs="仿宋"/>
                <w:b/>
                <w:color w:val="auto"/>
                <w:kern w:val="0"/>
                <w:sz w:val="28"/>
                <w:szCs w:val="28"/>
              </w:rPr>
              <w:t>专栏</w:t>
            </w:r>
            <w:r>
              <w:rPr>
                <w:rFonts w:hint="eastAsia" w:ascii="仿宋" w:hAnsi="仿宋" w:eastAsia="仿宋" w:cs="仿宋"/>
                <w:b/>
                <w:color w:val="auto"/>
                <w:kern w:val="0"/>
                <w:sz w:val="28"/>
                <w:szCs w:val="28"/>
                <w:lang w:val="en-US" w:eastAsia="zh-CN"/>
              </w:rPr>
              <w:t>8</w:t>
            </w:r>
            <w:r>
              <w:rPr>
                <w:rFonts w:hint="eastAsia" w:ascii="仿宋" w:hAnsi="仿宋" w:eastAsia="仿宋" w:cs="仿宋"/>
                <w:b/>
                <w:color w:val="auto"/>
                <w:kern w:val="0"/>
                <w:sz w:val="28"/>
                <w:szCs w:val="28"/>
              </w:rPr>
              <w:t>：</w:t>
            </w:r>
            <w:r>
              <w:rPr>
                <w:rFonts w:hint="eastAsia" w:ascii="仿宋" w:hAnsi="仿宋" w:eastAsia="仿宋" w:cs="仿宋"/>
                <w:b/>
                <w:color w:val="auto"/>
                <w:kern w:val="0"/>
                <w:sz w:val="28"/>
                <w:szCs w:val="28"/>
                <w:lang w:val="en-US" w:eastAsia="zh-CN"/>
              </w:rPr>
              <w:t>实施“云岭大学生就业护航”行动</w:t>
            </w:r>
          </w:p>
        </w:tc>
      </w:tr>
      <w:tr>
        <w:tblPrEx>
          <w:tblLayout w:type="fixed"/>
          <w:tblCellMar>
            <w:top w:w="0" w:type="dxa"/>
            <w:left w:w="0" w:type="dxa"/>
            <w:bottom w:w="0" w:type="dxa"/>
            <w:right w:w="0" w:type="dxa"/>
          </w:tblCellMar>
        </w:tblPrEx>
        <w:trPr>
          <w:jc w:val="center"/>
        </w:trPr>
        <w:tc>
          <w:tcPr>
            <w:tcW w:w="9072"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仿宋" w:hAnsi="仿宋" w:eastAsia="仿宋" w:cs="仿宋"/>
                <w:color w:val="auto"/>
                <w:sz w:val="24"/>
                <w:szCs w:val="24"/>
                <w:lang w:val="en-US" w:eastAsia="zh-CN"/>
              </w:rPr>
            </w:pPr>
            <w:r>
              <w:rPr>
                <w:rFonts w:hint="eastAsia" w:ascii="仿宋" w:hAnsi="仿宋" w:eastAsia="仿宋" w:cs="仿宋"/>
                <w:b/>
                <w:color w:val="auto"/>
                <w:sz w:val="24"/>
                <w:szCs w:val="24"/>
                <w:lang w:val="en-US" w:eastAsia="zh-CN"/>
              </w:rPr>
              <w:t>1.加大就业创业帮扶力度</w:t>
            </w:r>
            <w:r>
              <w:rPr>
                <w:rFonts w:hint="eastAsia" w:ascii="仿宋" w:hAnsi="仿宋" w:eastAsia="仿宋" w:cs="仿宋"/>
                <w:color w:val="auto"/>
                <w:sz w:val="24"/>
                <w:szCs w:val="24"/>
                <w:lang w:val="en-US" w:eastAsia="zh-CN"/>
              </w:rPr>
              <w:t>。通过开展一系列就业创业活动，创新服务模式、集聚服务能量、整合岗位资源，调动一切积极因素，着力为广大毕业生打造多部门、多平台、多渠道、多岗位的联动供需对接环境，同时以全方位公共就业创业服务“组合拳”加大各项就业创业政策落实，提升高校毕业生就业技能，鼓励创业带动就业，促进高校毕业生实现稳定就业。</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仿宋" w:hAnsi="仿宋" w:eastAsia="仿宋" w:cs="仿宋"/>
                <w:color w:val="auto"/>
                <w:sz w:val="24"/>
                <w:szCs w:val="24"/>
                <w:lang w:val="en-US" w:eastAsia="zh-CN"/>
              </w:rPr>
            </w:pPr>
            <w:r>
              <w:rPr>
                <w:rFonts w:hint="eastAsia" w:ascii="仿宋" w:hAnsi="仿宋" w:eastAsia="仿宋" w:cs="仿宋"/>
                <w:b/>
                <w:color w:val="auto"/>
                <w:sz w:val="24"/>
                <w:szCs w:val="24"/>
                <w:lang w:val="en-US" w:eastAsia="zh-CN"/>
              </w:rPr>
              <w:t>2.多形式多层次开展专项招聘。</w:t>
            </w:r>
            <w:r>
              <w:rPr>
                <w:rFonts w:hint="eastAsia" w:ascii="仿宋" w:hAnsi="仿宋" w:eastAsia="仿宋" w:cs="仿宋"/>
                <w:color w:val="auto"/>
                <w:sz w:val="24"/>
                <w:szCs w:val="24"/>
                <w:lang w:val="en-US" w:eastAsia="zh-CN"/>
              </w:rPr>
              <w:t>举办“百场千企万岗”系列招聘、推选大学生优秀创业项目、推进高质量职业技能提升培训、开展高校毕业生就业创业指导活动、开展求职赋能行动，各类活动在线上线下同步进行。</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3.搭建平台开展直播带岗等活动。</w:t>
            </w:r>
            <w:r>
              <w:rPr>
                <w:rFonts w:hint="eastAsia" w:ascii="仿宋" w:hAnsi="仿宋" w:eastAsia="仿宋" w:cs="仿宋"/>
                <w:color w:val="auto"/>
                <w:sz w:val="24"/>
                <w:szCs w:val="24"/>
                <w:lang w:val="en-US" w:eastAsia="zh-CN"/>
              </w:rPr>
              <w:t>分层次、分类别、分行业进行网络招聘，开展跨地区直播带岗等活动，为高校毕业生搭建就业供需平台，以活动促就业，提高毕业生就业意向达成人数。</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b/>
                <w:bCs/>
                <w:color w:val="auto"/>
                <w:sz w:val="24"/>
                <w:szCs w:val="24"/>
                <w:lang w:val="en-US" w:eastAsia="zh-CN"/>
              </w:rPr>
              <w:t>4.不间断提供针对性服务。</w:t>
            </w:r>
            <w:r>
              <w:rPr>
                <w:rFonts w:hint="eastAsia" w:ascii="仿宋" w:hAnsi="仿宋" w:eastAsia="仿宋" w:cs="仿宋"/>
                <w:color w:val="auto"/>
                <w:sz w:val="24"/>
                <w:szCs w:val="24"/>
                <w:lang w:val="en-US" w:eastAsia="zh-CN"/>
              </w:rPr>
              <w:t>实现“月月都有、周周不断”。常态化每月开展各类专项招聘，在高校较为集中、登记未就业毕业生人数较多的县区周周不间断为高校毕业生提供就业岗位。</w:t>
            </w:r>
          </w:p>
        </w:tc>
      </w:tr>
    </w:tbl>
    <w:p>
      <w:pPr>
        <w:pStyle w:val="5"/>
        <w:pageBreakBefore w:val="0"/>
        <w:kinsoku/>
        <w:wordWrap/>
        <w:topLinePunct w:val="0"/>
        <w:autoSpaceDE/>
        <w:autoSpaceDN/>
        <w:bidi w:val="0"/>
        <w:spacing w:before="0" w:after="0" w:line="600" w:lineRule="exact"/>
        <w:ind w:firstLine="640" w:firstLineChars="200"/>
        <w:textAlignment w:val="auto"/>
        <w:rPr>
          <w:rFonts w:hint="eastAsia" w:ascii="仿宋" w:hAnsi="仿宋" w:eastAsia="仿宋" w:cs="仿宋"/>
          <w:b w:val="0"/>
          <w:color w:val="auto"/>
          <w:kern w:val="2"/>
          <w:u w:color="000000"/>
        </w:rPr>
      </w:pPr>
      <w:r>
        <w:rPr>
          <w:rFonts w:hint="eastAsia" w:ascii="楷体" w:hAnsi="楷体" w:eastAsia="楷体" w:cs="楷体"/>
          <w:b w:val="0"/>
          <w:bCs/>
          <w:color w:val="auto"/>
          <w:kern w:val="44"/>
          <w:u w:color="000000"/>
        </w:rPr>
        <w:t>（二十一）</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Fonts w:hint="eastAsia" w:ascii="楷体" w:hAnsi="楷体" w:eastAsia="楷体" w:cs="楷体"/>
          <w:b w:val="0"/>
          <w:bCs/>
          <w:color w:val="auto"/>
          <w:kern w:val="44"/>
          <w:u w:color="000000"/>
        </w:rPr>
        <w:t>高度重视城镇青年就业</w:t>
      </w:r>
      <w:r>
        <w:rPr>
          <w:rFonts w:hint="eastAsia" w:ascii="仿宋" w:hAnsi="仿宋" w:eastAsia="仿宋" w:cs="仿宋"/>
          <w:b w:val="0"/>
          <w:bCs/>
          <w:color w:val="auto"/>
          <w:kern w:val="44"/>
          <w:u w:color="000000"/>
        </w:rPr>
        <w:t>。</w:t>
      </w:r>
      <w:r>
        <w:rPr>
          <w:rFonts w:hint="eastAsia" w:ascii="仿宋" w:hAnsi="仿宋" w:eastAsia="仿宋" w:cs="仿宋"/>
          <w:b w:val="0"/>
          <w:color w:val="auto"/>
          <w:kern w:val="2"/>
          <w:u w:color="000000"/>
        </w:rPr>
        <w:t>聚焦城镇青年（主要包括初高中毕业未继续升学青年、城镇失业青年、转岗青年职工等），完善就业支持体系。在推动先进制造业、现代服务业和劳动密集型企业发展中，为城镇青年创造多样化就业机会，带动更多城镇青年到新产业新业态新模式就业创业。对接产业优化布局、区域协调发展和重点行业企业人才需求，完善人力资源需求发布、要素配置、协同发展机制，支持城镇青年到人才紧缺领域就业。增强城镇青年职业发展能力。发挥就业创业服务机构、产业企业园区、青年之家、青年活动中心等各类平台作用，支持城镇青年参加职业指导、职业体验、创业实践、志愿服务等活动，增强就业能力。探索组织职业训练营、就业训练工场。打造适合城镇青年特点的就业服务模式，畅通信息服务渠道，提高择业精准度。强化城镇青年就业帮扶。实施就业启航计划，对城镇长期失业青年开展实践引导、分类指导和跟踪帮扶，促进其进入市场就业。将劳动精神、奋斗精神融入指导和实践，引导城镇青年自强自立、就业创业。对城镇困难失业青年提供就业援助。</w:t>
      </w:r>
    </w:p>
    <w:p>
      <w:pPr>
        <w:pStyle w:val="11"/>
        <w:rPr>
          <w:rFonts w:hint="eastAsia" w:ascii="仿宋" w:hAnsi="仿宋" w:eastAsia="仿宋" w:cs="仿宋"/>
          <w:b w:val="0"/>
          <w:color w:val="auto"/>
          <w:kern w:val="2"/>
          <w:u w:color="000000"/>
        </w:rPr>
      </w:pPr>
    </w:p>
    <w:p>
      <w:pPr>
        <w:pStyle w:val="11"/>
        <w:rPr>
          <w:rFonts w:hint="eastAsia" w:ascii="仿宋" w:hAnsi="仿宋" w:eastAsia="仿宋" w:cs="仿宋"/>
          <w:b w:val="0"/>
          <w:color w:val="auto"/>
          <w:kern w:val="2"/>
          <w:u w:color="000000"/>
        </w:rPr>
      </w:pPr>
    </w:p>
    <w:p>
      <w:pPr>
        <w:pStyle w:val="11"/>
        <w:rPr>
          <w:rFonts w:hint="eastAsia" w:ascii="仿宋" w:hAnsi="仿宋" w:eastAsia="仿宋" w:cs="仿宋"/>
          <w:b w:val="0"/>
          <w:color w:val="auto"/>
          <w:kern w:val="2"/>
          <w:u w:color="000000"/>
        </w:rPr>
      </w:pPr>
    </w:p>
    <w:p>
      <w:pPr>
        <w:pStyle w:val="11"/>
        <w:rPr>
          <w:rFonts w:hint="eastAsia" w:ascii="仿宋" w:hAnsi="仿宋" w:eastAsia="仿宋" w:cs="仿宋"/>
          <w:b w:val="0"/>
          <w:color w:val="auto"/>
          <w:kern w:val="2"/>
          <w:u w:color="000000"/>
        </w:rPr>
      </w:pPr>
    </w:p>
    <w:tbl>
      <w:tblPr>
        <w:tblStyle w:val="12"/>
        <w:tblW w:w="9072" w:type="dxa"/>
        <w:jc w:val="center"/>
        <w:tblInd w:w="0" w:type="dxa"/>
        <w:tblLayout w:type="fixed"/>
        <w:tblCellMar>
          <w:top w:w="0" w:type="dxa"/>
          <w:left w:w="0" w:type="dxa"/>
          <w:bottom w:w="0" w:type="dxa"/>
          <w:right w:w="0" w:type="dxa"/>
        </w:tblCellMar>
      </w:tblPr>
      <w:tblGrid>
        <w:gridCol w:w="9072"/>
      </w:tblGrid>
      <w:tr>
        <w:tblPrEx>
          <w:tblLayout w:type="fixed"/>
          <w:tblCellMar>
            <w:top w:w="0" w:type="dxa"/>
            <w:left w:w="0" w:type="dxa"/>
            <w:bottom w:w="0" w:type="dxa"/>
            <w:right w:w="0" w:type="dxa"/>
          </w:tblCellMar>
        </w:tblPrEx>
        <w:trPr>
          <w:trHeight w:val="558" w:hRule="atLeast"/>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ind w:firstLine="562" w:firstLineChars="200"/>
              <w:jc w:val="center"/>
              <w:textAlignment w:val="auto"/>
              <w:rPr>
                <w:rFonts w:hint="eastAsia" w:ascii="仿宋" w:hAnsi="仿宋" w:eastAsia="仿宋" w:cs="仿宋"/>
                <w:b/>
                <w:color w:val="auto"/>
                <w:kern w:val="0"/>
                <w:sz w:val="28"/>
                <w:szCs w:val="28"/>
                <w:lang w:eastAsia="zh-CN"/>
              </w:rPr>
            </w:pPr>
            <w:r>
              <w:rPr>
                <w:rFonts w:hint="eastAsia" w:ascii="仿宋" w:hAnsi="仿宋" w:eastAsia="仿宋" w:cs="仿宋"/>
                <w:b/>
                <w:color w:val="auto"/>
                <w:kern w:val="0"/>
                <w:sz w:val="28"/>
                <w:szCs w:val="28"/>
              </w:rPr>
              <w:t>专栏</w:t>
            </w:r>
            <w:r>
              <w:rPr>
                <w:rFonts w:hint="eastAsia" w:ascii="仿宋" w:hAnsi="仿宋" w:eastAsia="仿宋" w:cs="仿宋"/>
                <w:b/>
                <w:color w:val="auto"/>
                <w:kern w:val="0"/>
                <w:sz w:val="28"/>
                <w:szCs w:val="28"/>
                <w:lang w:val="en-US" w:eastAsia="zh-CN"/>
              </w:rPr>
              <w:t>9</w:t>
            </w:r>
            <w:r>
              <w:rPr>
                <w:rFonts w:hint="eastAsia" w:ascii="仿宋" w:hAnsi="仿宋" w:eastAsia="仿宋" w:cs="仿宋"/>
                <w:b/>
                <w:color w:val="auto"/>
                <w:kern w:val="0"/>
                <w:sz w:val="28"/>
                <w:szCs w:val="28"/>
              </w:rPr>
              <w:t>：</w:t>
            </w:r>
            <w:r>
              <w:rPr>
                <w:rFonts w:hint="eastAsia" w:ascii="仿宋" w:hAnsi="仿宋" w:eastAsia="仿宋" w:cs="仿宋"/>
                <w:b/>
                <w:color w:val="auto"/>
                <w:kern w:val="0"/>
                <w:sz w:val="28"/>
                <w:szCs w:val="28"/>
                <w:lang w:eastAsia="zh-CN"/>
              </w:rPr>
              <w:t>实施</w:t>
            </w:r>
            <w:r>
              <w:rPr>
                <w:rFonts w:hint="eastAsia" w:ascii="仿宋" w:hAnsi="仿宋" w:eastAsia="仿宋" w:cs="仿宋"/>
                <w:b/>
                <w:color w:val="auto"/>
                <w:kern w:val="0"/>
                <w:sz w:val="28"/>
                <w:szCs w:val="28"/>
                <w:lang w:val="en-US" w:eastAsia="zh-CN"/>
              </w:rPr>
              <w:t>云南省青年就业见习“提质增效”行动计划</w:t>
            </w:r>
          </w:p>
        </w:tc>
      </w:tr>
      <w:tr>
        <w:tblPrEx>
          <w:tblLayout w:type="fixed"/>
          <w:tblCellMar>
            <w:top w:w="0" w:type="dxa"/>
            <w:left w:w="0" w:type="dxa"/>
            <w:bottom w:w="0" w:type="dxa"/>
            <w:right w:w="0" w:type="dxa"/>
          </w:tblCellMar>
        </w:tblPrEx>
        <w:trPr>
          <w:jc w:val="center"/>
        </w:trPr>
        <w:tc>
          <w:tcPr>
            <w:tcW w:w="9072"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仿宋" w:hAnsi="仿宋" w:eastAsia="仿宋" w:cs="仿宋"/>
                <w:color w:val="auto"/>
                <w:sz w:val="24"/>
                <w:szCs w:val="24"/>
                <w:lang w:val="en-US" w:eastAsia="zh-CN"/>
              </w:rPr>
            </w:pPr>
            <w:r>
              <w:rPr>
                <w:rFonts w:hint="eastAsia" w:ascii="仿宋" w:hAnsi="仿宋" w:eastAsia="仿宋" w:cs="仿宋"/>
                <w:b/>
                <w:color w:val="auto"/>
                <w:sz w:val="24"/>
                <w:szCs w:val="24"/>
                <w:lang w:val="en-US" w:eastAsia="zh-CN"/>
              </w:rPr>
              <w:t>1.计划规模。</w:t>
            </w:r>
            <w:r>
              <w:rPr>
                <w:rFonts w:hint="eastAsia" w:ascii="仿宋" w:hAnsi="仿宋" w:eastAsia="仿宋" w:cs="仿宋"/>
                <w:color w:val="auto"/>
                <w:sz w:val="24"/>
                <w:szCs w:val="24"/>
                <w:lang w:val="en-US" w:eastAsia="zh-CN"/>
              </w:rPr>
              <w:t>每年组织不少于10000名离校未就业高校毕业生为重点群体的失业青年参加就业见习，提升就业创业能力，最大程度发挥就业见习稳定就业、促进就业作用。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仿宋" w:hAnsi="仿宋" w:eastAsia="仿宋" w:cs="仿宋"/>
                <w:color w:val="auto"/>
                <w:sz w:val="24"/>
                <w:szCs w:val="24"/>
                <w:lang w:val="en-US" w:eastAsia="zh-CN"/>
              </w:rPr>
            </w:pPr>
            <w:r>
              <w:rPr>
                <w:rFonts w:hint="eastAsia" w:ascii="仿宋" w:hAnsi="仿宋" w:eastAsia="仿宋" w:cs="仿宋"/>
                <w:b/>
                <w:color w:val="auto"/>
                <w:sz w:val="24"/>
                <w:szCs w:val="24"/>
                <w:lang w:val="en-US" w:eastAsia="zh-CN"/>
              </w:rPr>
              <w:t>2.加强见习基地认定。</w:t>
            </w:r>
            <w:r>
              <w:rPr>
                <w:rFonts w:hint="eastAsia" w:ascii="仿宋" w:hAnsi="仿宋" w:eastAsia="仿宋" w:cs="仿宋"/>
                <w:color w:val="auto"/>
                <w:sz w:val="24"/>
                <w:szCs w:val="24"/>
                <w:lang w:val="en-US" w:eastAsia="zh-CN"/>
              </w:rPr>
              <w:t>深化部门间协调联动，充分发挥职能优势，推荐认定经营管理规范、效益和信誉好的企事业单位、民办非企业单位和社会团体为青年就业见习基地。</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仿宋" w:hAnsi="仿宋" w:eastAsia="仿宋" w:cs="仿宋"/>
                <w:color w:val="auto"/>
                <w:sz w:val="24"/>
                <w:szCs w:val="24"/>
                <w:lang w:val="en-US" w:eastAsia="zh-CN"/>
              </w:rPr>
            </w:pPr>
            <w:r>
              <w:rPr>
                <w:rFonts w:hint="eastAsia" w:ascii="仿宋" w:hAnsi="仿宋" w:eastAsia="仿宋" w:cs="仿宋"/>
                <w:b/>
                <w:color w:val="auto"/>
                <w:sz w:val="24"/>
                <w:szCs w:val="24"/>
                <w:lang w:val="en-US" w:eastAsia="zh-CN"/>
              </w:rPr>
              <w:t>3.丰富见习岗位来源。</w:t>
            </w:r>
            <w:r>
              <w:rPr>
                <w:rFonts w:hint="eastAsia" w:ascii="仿宋" w:hAnsi="仿宋" w:eastAsia="仿宋" w:cs="仿宋"/>
                <w:color w:val="auto"/>
                <w:sz w:val="24"/>
                <w:szCs w:val="24"/>
                <w:lang w:val="en-US" w:eastAsia="zh-CN"/>
              </w:rPr>
              <w:t>优化见习岗位结构，提升见习岗位质量，增强见习岗位吸引力，满足青年多元见习需求，更好发挥青年所学所长，提高就业市场竞争力。</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仿宋" w:hAnsi="仿宋" w:eastAsia="仿宋" w:cs="仿宋"/>
                <w:color w:val="auto"/>
                <w:sz w:val="24"/>
                <w:szCs w:val="24"/>
                <w:lang w:val="en-US" w:eastAsia="zh-CN"/>
              </w:rPr>
            </w:pPr>
            <w:r>
              <w:rPr>
                <w:rFonts w:hint="eastAsia" w:ascii="仿宋" w:hAnsi="仿宋" w:eastAsia="仿宋" w:cs="仿宋"/>
                <w:b/>
                <w:color w:val="auto"/>
                <w:sz w:val="24"/>
                <w:szCs w:val="24"/>
                <w:lang w:val="en-US" w:eastAsia="zh-CN"/>
              </w:rPr>
              <w:t>4.提高见习留用率。</w:t>
            </w:r>
            <w:r>
              <w:rPr>
                <w:rFonts w:hint="eastAsia" w:ascii="仿宋" w:hAnsi="仿宋" w:eastAsia="仿宋" w:cs="仿宋"/>
                <w:color w:val="auto"/>
                <w:sz w:val="24"/>
                <w:szCs w:val="24"/>
                <w:lang w:val="en-US" w:eastAsia="zh-CN"/>
              </w:rPr>
              <w:t>鼓励见习单位更多留用见习人员，及时足额核拨就业见习补贴，采取有效措施，实现我省见习留用率逐年上升。</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仿宋" w:hAnsi="仿宋" w:eastAsia="仿宋" w:cs="仿宋"/>
                <w:color w:val="auto"/>
                <w:sz w:val="32"/>
                <w:szCs w:val="32"/>
              </w:rPr>
            </w:pPr>
            <w:r>
              <w:rPr>
                <w:rFonts w:hint="eastAsia" w:ascii="仿宋" w:hAnsi="仿宋" w:eastAsia="仿宋" w:cs="仿宋"/>
                <w:b/>
                <w:color w:val="auto"/>
                <w:sz w:val="24"/>
                <w:szCs w:val="24"/>
                <w:lang w:val="en-US" w:eastAsia="zh-CN"/>
              </w:rPr>
              <w:t>5.加强宣传和服务。</w:t>
            </w:r>
            <w:r>
              <w:rPr>
                <w:rFonts w:hint="eastAsia" w:ascii="仿宋" w:hAnsi="仿宋" w:eastAsia="仿宋" w:cs="仿宋"/>
                <w:color w:val="auto"/>
                <w:sz w:val="24"/>
                <w:szCs w:val="24"/>
                <w:lang w:val="en-US" w:eastAsia="zh-CN"/>
              </w:rPr>
              <w:t>强化见习政策普及，通过各类宣传载体，广泛宣传见习制度和参与渠道，扩大就业见习社会知晓度和参与率，在青年聚集的高校、社区同步开展好见习服务和政策宣传工作，对未被单位留用的见习人员，继续提供政府免费的就业信息和各类公共就业服务。</w:t>
            </w:r>
          </w:p>
        </w:tc>
      </w:tr>
    </w:tbl>
    <w:p>
      <w:pPr>
        <w:pStyle w:val="5"/>
        <w:pageBreakBefore w:val="0"/>
        <w:kinsoku/>
        <w:wordWrap/>
        <w:topLinePunct w:val="0"/>
        <w:autoSpaceDE/>
        <w:autoSpaceDN/>
        <w:bidi w:val="0"/>
        <w:spacing w:before="0" w:after="0" w:line="600" w:lineRule="exact"/>
        <w:ind w:firstLine="640" w:firstLineChars="200"/>
        <w:textAlignment w:val="auto"/>
        <w:rPr>
          <w:rFonts w:hint="eastAsia" w:ascii="仿宋" w:hAnsi="仿宋" w:eastAsia="仿宋" w:cs="仿宋"/>
          <w:b w:val="0"/>
          <w:color w:val="auto"/>
          <w:szCs w:val="32"/>
          <w:u w:color="000000"/>
        </w:rPr>
      </w:pPr>
      <w:bookmarkStart w:id="197" w:name="_Toc255871457"/>
      <w:bookmarkStart w:id="198" w:name="_Toc1631120"/>
      <w:bookmarkStart w:id="199" w:name="_Toc1964109773"/>
      <w:r>
        <w:rPr>
          <w:rFonts w:hint="eastAsia" w:ascii="楷体" w:hAnsi="楷体" w:eastAsia="楷体" w:cs="楷体"/>
          <w:b w:val="0"/>
          <w:bCs/>
          <w:color w:val="auto"/>
          <w:kern w:val="44"/>
          <w:szCs w:val="32"/>
          <w:u w:color="000000"/>
        </w:rPr>
        <w:t>（二十二）加强退役军人就业保</w:t>
      </w:r>
      <w:bookmarkEnd w:id="183"/>
      <w:r>
        <w:rPr>
          <w:rFonts w:hint="eastAsia" w:ascii="楷体" w:hAnsi="楷体" w:eastAsia="楷体" w:cs="楷体"/>
          <w:b w:val="0"/>
          <w:bCs/>
          <w:color w:val="auto"/>
          <w:kern w:val="44"/>
          <w:szCs w:val="32"/>
          <w:u w:color="000000"/>
        </w:rPr>
        <w:t>障</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Fonts w:hint="eastAsia" w:ascii="仿宋" w:hAnsi="仿宋" w:eastAsia="仿宋" w:cs="仿宋"/>
          <w:b w:val="0"/>
          <w:bCs/>
          <w:color w:val="auto"/>
          <w:kern w:val="44"/>
          <w:szCs w:val="32"/>
          <w:u w:color="000000"/>
        </w:rPr>
        <w:t>。</w:t>
      </w:r>
      <w:r>
        <w:rPr>
          <w:rFonts w:hint="eastAsia" w:ascii="仿宋" w:hAnsi="仿宋" w:eastAsia="仿宋" w:cs="仿宋"/>
          <w:b w:val="0"/>
          <w:color w:val="auto"/>
          <w:kern w:val="2"/>
          <w:szCs w:val="32"/>
          <w:u w:color="000000"/>
        </w:rPr>
        <w:t>改革完善退役军人安置制度。科学制定安置计划，改进岗位安置办法，推进落实安置政策，压实属地安置责任，规范接收安置程序，提高安置质量。优化安置方式，探索市场化安置改革，强化多渠道、多元化安置。推广“直通车”式安置，健全“阳光安置”工作机制。鼓励到艰苦边远地区和城乡基层安置。加强各种安置方式统筹协调，强化政策制度衔接。支持退役军人自主就业。将退役军人按规定纳入现有就业服务、教育培训等政策覆盖范围。探索“先入校回炉、再就业创业”的模式，鼓励符合条件的退役军人报考高职学校，落实招收、培养、管理等方面的扶持政策。适时调整退役军人就业岗位目录。协调各方资源，加强行业企业合作，拓展就业供给领域，挖掘更多适合退役军人的就业岗位，促进退役军人到民营企业就业。实施“兵支书”培养计划和退役士兵“村官”培养工程，推动退役军人在乡村就业。设立退役军人就业实名台账，强化退役军人服务中心（站）就业服务功能，及时提供针对性服务。县级以上地方人民政府每年至少组织2次退役军人专场</w:t>
      </w:r>
      <w:r>
        <w:rPr>
          <w:rFonts w:hint="eastAsia" w:ascii="仿宋" w:hAnsi="仿宋" w:eastAsia="仿宋" w:cs="仿宋"/>
          <w:b w:val="0"/>
          <w:color w:val="auto"/>
          <w:kern w:val="2"/>
          <w:szCs w:val="32"/>
          <w:u w:color="000000"/>
          <w:lang w:eastAsia="zh-CN"/>
        </w:rPr>
        <w:t>（专区）</w:t>
      </w:r>
      <w:r>
        <w:rPr>
          <w:rFonts w:hint="eastAsia" w:ascii="仿宋" w:hAnsi="仿宋" w:eastAsia="仿宋" w:cs="仿宋"/>
          <w:b w:val="0"/>
          <w:color w:val="auto"/>
          <w:kern w:val="2"/>
          <w:szCs w:val="32"/>
          <w:u w:color="000000"/>
        </w:rPr>
        <w:t>招聘。支持退役军人创业就业，实施“互联网＋退役军人就业创业”计划。加强困难退役军人就业帮扶。完善退役军人就业服务功能，建立云南省退役军人及优抚对象就业创业基础信息。</w:t>
      </w:r>
    </w:p>
    <w:p>
      <w:pPr>
        <w:pStyle w:val="5"/>
        <w:pageBreakBefore w:val="0"/>
        <w:kinsoku/>
        <w:wordWrap/>
        <w:topLinePunct w:val="0"/>
        <w:autoSpaceDE/>
        <w:autoSpaceDN/>
        <w:bidi w:val="0"/>
        <w:spacing w:before="0" w:after="0" w:line="600" w:lineRule="exact"/>
        <w:ind w:firstLine="640" w:firstLineChars="200"/>
        <w:textAlignment w:val="auto"/>
        <w:rPr>
          <w:rFonts w:hint="eastAsia" w:ascii="仿宋" w:hAnsi="仿宋" w:eastAsia="仿宋" w:cs="仿宋"/>
          <w:b w:val="0"/>
          <w:color w:val="auto"/>
          <w:szCs w:val="32"/>
          <w:u w:color="000000"/>
        </w:rPr>
      </w:pPr>
      <w:bookmarkStart w:id="200" w:name="_Toc488261138"/>
      <w:bookmarkStart w:id="201" w:name="_Toc1447318923"/>
      <w:bookmarkStart w:id="202" w:name="_Toc1607946601"/>
      <w:bookmarkStart w:id="203" w:name="_Toc1105234190"/>
      <w:bookmarkStart w:id="204" w:name="_Toc266506403"/>
      <w:bookmarkStart w:id="205" w:name="_Toc1840156469"/>
      <w:bookmarkStart w:id="206" w:name="_Toc1759807968"/>
      <w:bookmarkStart w:id="207" w:name="_Toc1069925333"/>
      <w:bookmarkStart w:id="208" w:name="_Toc177718687"/>
      <w:bookmarkStart w:id="209" w:name="_Toc40083117"/>
      <w:bookmarkStart w:id="210" w:name="_Toc1479500692"/>
      <w:bookmarkStart w:id="211" w:name="_Toc755805286"/>
      <w:bookmarkStart w:id="212" w:name="_Toc2040278193"/>
      <w:bookmarkStart w:id="213" w:name="_Toc1438572031"/>
      <w:bookmarkStart w:id="214" w:name="_Toc363130507"/>
      <w:bookmarkStart w:id="215" w:name="_Toc511926748"/>
      <w:bookmarkStart w:id="216" w:name="_Toc392282041"/>
      <w:r>
        <w:rPr>
          <w:rFonts w:hint="eastAsia" w:ascii="楷体" w:hAnsi="楷体" w:eastAsia="楷体" w:cs="楷体"/>
          <w:b w:val="0"/>
          <w:bCs/>
          <w:color w:val="auto"/>
          <w:kern w:val="44"/>
          <w:szCs w:val="32"/>
          <w:u w:color="000000"/>
        </w:rPr>
        <w:t>（二十三）推进农村劳动力转移就</w:t>
      </w:r>
      <w:bookmarkEnd w:id="200"/>
      <w:r>
        <w:rPr>
          <w:rFonts w:hint="eastAsia" w:ascii="楷体" w:hAnsi="楷体" w:eastAsia="楷体" w:cs="楷体"/>
          <w:b w:val="0"/>
          <w:bCs/>
          <w:color w:val="auto"/>
          <w:kern w:val="44"/>
          <w:szCs w:val="32"/>
          <w:u w:color="000000"/>
        </w:rPr>
        <w:t>业</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Fonts w:hint="eastAsia" w:ascii="仿宋" w:hAnsi="仿宋" w:eastAsia="仿宋" w:cs="仿宋"/>
          <w:b w:val="0"/>
          <w:bCs/>
          <w:color w:val="auto"/>
          <w:kern w:val="44"/>
          <w:szCs w:val="32"/>
          <w:u w:color="000000"/>
        </w:rPr>
        <w:t>。</w:t>
      </w:r>
      <w:r>
        <w:rPr>
          <w:rFonts w:hint="eastAsia" w:ascii="仿宋" w:hAnsi="仿宋" w:eastAsia="仿宋" w:cs="仿宋"/>
          <w:b w:val="0"/>
          <w:color w:val="auto"/>
          <w:kern w:val="2"/>
          <w:szCs w:val="32"/>
          <w:u w:color="000000"/>
        </w:rPr>
        <w:t>稳定和扩大农村劳动力外出就业规模。广泛开展区域间</w:t>
      </w:r>
      <w:r>
        <w:rPr>
          <w:rFonts w:hint="eastAsia" w:ascii="仿宋" w:hAnsi="仿宋" w:eastAsia="仿宋" w:cs="仿宋"/>
          <w:b w:val="0"/>
          <w:color w:val="auto"/>
          <w:kern w:val="2"/>
          <w:szCs w:val="32"/>
          <w:u w:color="000000"/>
          <w:lang w:eastAsia="zh-CN"/>
        </w:rPr>
        <w:t>、国际间</w:t>
      </w:r>
      <w:r>
        <w:rPr>
          <w:rFonts w:hint="eastAsia" w:ascii="仿宋" w:hAnsi="仿宋" w:eastAsia="仿宋" w:cs="仿宋"/>
          <w:b w:val="0"/>
          <w:color w:val="auto"/>
          <w:kern w:val="2"/>
          <w:szCs w:val="32"/>
          <w:u w:color="000000"/>
        </w:rPr>
        <w:t>劳务协作，健全劳务输入集中区域与劳务输出省份对接协调机制，加强劳动力跨区域精准对接，发展劳务组织和经纪人，有序组织输出地农村劳动力外出务工。培育一批有地域特色、行业特征、技能特点、带动农村劳动力就业效果好的劳务品牌。实施农民工素质提升工程，推进新生代农民工职业技能提升计划。创建一批农村劳动力转移就业示范县。</w:t>
      </w:r>
    </w:p>
    <w:tbl>
      <w:tblPr>
        <w:tblStyle w:val="12"/>
        <w:tblW w:w="9072" w:type="dxa"/>
        <w:jc w:val="center"/>
        <w:tblInd w:w="0" w:type="dxa"/>
        <w:tblLayout w:type="fixed"/>
        <w:tblCellMar>
          <w:top w:w="0" w:type="dxa"/>
          <w:left w:w="0" w:type="dxa"/>
          <w:bottom w:w="0" w:type="dxa"/>
          <w:right w:w="0" w:type="dxa"/>
        </w:tblCellMar>
      </w:tblPr>
      <w:tblGrid>
        <w:gridCol w:w="9072"/>
      </w:tblGrid>
      <w:tr>
        <w:tblPrEx>
          <w:tblLayout w:type="fixed"/>
          <w:tblCellMar>
            <w:top w:w="0" w:type="dxa"/>
            <w:left w:w="0" w:type="dxa"/>
            <w:bottom w:w="0" w:type="dxa"/>
            <w:right w:w="0" w:type="dxa"/>
          </w:tblCellMar>
        </w:tblPrEx>
        <w:trPr>
          <w:trHeight w:val="558" w:hRule="atLeast"/>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color w:val="auto"/>
                <w:kern w:val="0"/>
                <w:sz w:val="28"/>
                <w:szCs w:val="28"/>
              </w:rPr>
            </w:pPr>
            <w:r>
              <w:rPr>
                <w:rFonts w:hint="eastAsia" w:ascii="仿宋" w:hAnsi="仿宋" w:eastAsia="仿宋" w:cs="仿宋"/>
                <w:b/>
                <w:color w:val="auto"/>
                <w:kern w:val="0"/>
                <w:sz w:val="28"/>
                <w:szCs w:val="28"/>
              </w:rPr>
              <w:t>专栏</w:t>
            </w:r>
            <w:r>
              <w:rPr>
                <w:rFonts w:hint="eastAsia" w:ascii="仿宋" w:hAnsi="仿宋" w:eastAsia="仿宋" w:cs="仿宋"/>
                <w:b/>
                <w:color w:val="auto"/>
                <w:kern w:val="0"/>
                <w:sz w:val="28"/>
                <w:szCs w:val="28"/>
                <w:lang w:val="en-US" w:eastAsia="zh-CN"/>
              </w:rPr>
              <w:t>10</w:t>
            </w:r>
            <w:r>
              <w:rPr>
                <w:rFonts w:hint="eastAsia" w:ascii="仿宋" w:hAnsi="仿宋" w:eastAsia="仿宋" w:cs="仿宋"/>
                <w:b/>
                <w:color w:val="auto"/>
                <w:kern w:val="0"/>
                <w:sz w:val="28"/>
                <w:szCs w:val="28"/>
              </w:rPr>
              <w:t>：实施</w:t>
            </w:r>
            <w:r>
              <w:rPr>
                <w:rFonts w:hint="eastAsia" w:ascii="仿宋" w:hAnsi="仿宋" w:eastAsia="仿宋" w:cs="仿宋"/>
                <w:b/>
                <w:color w:val="auto"/>
                <w:kern w:val="0"/>
                <w:sz w:val="28"/>
                <w:szCs w:val="28"/>
                <w:lang w:eastAsia="zh-CN"/>
              </w:rPr>
              <w:t>“七彩云南”</w:t>
            </w:r>
            <w:r>
              <w:rPr>
                <w:rFonts w:hint="eastAsia" w:ascii="仿宋" w:hAnsi="仿宋" w:eastAsia="仿宋" w:cs="仿宋"/>
                <w:b/>
                <w:color w:val="auto"/>
                <w:kern w:val="0"/>
                <w:sz w:val="28"/>
                <w:szCs w:val="28"/>
              </w:rPr>
              <w:t>劳务品牌促就业计划</w:t>
            </w:r>
          </w:p>
        </w:tc>
      </w:tr>
      <w:tr>
        <w:tblPrEx>
          <w:tblLayout w:type="fixed"/>
          <w:tblCellMar>
            <w:top w:w="0" w:type="dxa"/>
            <w:left w:w="0" w:type="dxa"/>
            <w:bottom w:w="0" w:type="dxa"/>
            <w:right w:w="0" w:type="dxa"/>
          </w:tblCellMar>
        </w:tblPrEx>
        <w:trPr>
          <w:jc w:val="center"/>
        </w:trPr>
        <w:tc>
          <w:tcPr>
            <w:tcW w:w="9072" w:type="dxa"/>
            <w:tcBorders>
              <w:top w:val="nil"/>
              <w:left w:val="single" w:color="000000" w:sz="8" w:space="0"/>
              <w:bottom w:val="single" w:color="auto" w:sz="4" w:space="0"/>
              <w:right w:val="single" w:color="000000" w:sz="8" w:space="0"/>
            </w:tcBorders>
            <w:tcMar>
              <w:top w:w="0" w:type="dxa"/>
              <w:left w:w="108" w:type="dxa"/>
              <w:bottom w:w="0" w:type="dxa"/>
              <w:right w:w="108" w:type="dxa"/>
            </w:tcMar>
          </w:tcPr>
          <w:p>
            <w:pPr>
              <w:pStyle w:val="11"/>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400" w:lineRule="exact"/>
              <w:ind w:firstLine="482" w:firstLineChars="200"/>
              <w:textAlignment w:val="auto"/>
              <w:rPr>
                <w:rFonts w:hint="default" w:ascii="仿宋" w:hAnsi="仿宋" w:eastAsia="仿宋" w:cs="仿宋"/>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1.培育劳务品牌。</w:t>
            </w:r>
            <w:r>
              <w:rPr>
                <w:rFonts w:hint="eastAsia" w:ascii="仿宋" w:hAnsi="仿宋" w:eastAsia="仿宋" w:cs="仿宋"/>
                <w:color w:val="auto"/>
                <w:kern w:val="2"/>
                <w:sz w:val="24"/>
                <w:szCs w:val="24"/>
                <w:lang w:val="en-US" w:eastAsia="zh-CN" w:bidi="ar-SA"/>
              </w:rPr>
              <w:t>根据全省各地人文、历史和已经形成的就业优势等特点，围绕外出务工行业和地域分布优势，围绕发达地区劳务市场需求量大的家政、保安、物流等服务领域，有针对性地培育劳务输出品牌，按照“一县一品”培育方式，每个县打造一个劳务品牌。加大对现有知名劳务品牌的宣传、推介。到2025年，力争实现全省129个县（市、区）都有与当地产业结合的劳务品牌。</w:t>
            </w:r>
          </w:p>
          <w:p>
            <w:pPr>
              <w:pStyle w:val="11"/>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400" w:lineRule="exact"/>
              <w:ind w:firstLine="482" w:firstLineChars="200"/>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2.提升劳务品牌质量。</w:t>
            </w:r>
            <w:r>
              <w:rPr>
                <w:rFonts w:hint="eastAsia" w:ascii="仿宋" w:hAnsi="仿宋" w:eastAsia="仿宋" w:cs="仿宋"/>
                <w:color w:val="auto"/>
                <w:kern w:val="2"/>
                <w:sz w:val="24"/>
                <w:szCs w:val="24"/>
                <w:lang w:val="en-US" w:eastAsia="zh-CN" w:bidi="ar-SA"/>
              </w:rPr>
              <w:t>发挥企业和政府部门两个积极性，按照“提升品牌效益、扩大转移规模、提高就业质量、增加农民收入”的工作思路，探索建立劳务品牌创建优惠政策，在劳务品牌质量、管理、服务建设上下工夫，大力推进劳务品牌实体化建设，通过加大扶持服务，强化技能培训，规范服务等措施，积极落实好现有的各项奖励扶持政策，引导鼓励农村劳动力通过现有优势劳务品牌实现转移就业，逐步提高现有劳务品牌的影响力和劳务收入水平。</w:t>
            </w:r>
          </w:p>
          <w:p>
            <w:pPr>
              <w:pStyle w:val="11"/>
              <w:keepNext w:val="0"/>
              <w:keepLines w:val="0"/>
              <w:pageBreakBefore w:val="0"/>
              <w:widowControl w:val="0"/>
              <w:kinsoku/>
              <w:wordWrap/>
              <w:overflowPunct/>
              <w:topLinePunct w:val="0"/>
              <w:autoSpaceDE/>
              <w:autoSpaceDN/>
              <w:bidi w:val="0"/>
              <w:adjustRightInd/>
              <w:snapToGrid/>
              <w:spacing w:beforeLines="0" w:after="0" w:afterLines="0" w:line="400" w:lineRule="exact"/>
              <w:ind w:firstLine="482" w:firstLineChars="200"/>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3.以劳务品牌引领技能培训。</w:t>
            </w:r>
            <w:r>
              <w:rPr>
                <w:rFonts w:hint="eastAsia" w:ascii="仿宋" w:hAnsi="仿宋" w:eastAsia="仿宋" w:cs="仿宋"/>
                <w:color w:val="auto"/>
                <w:kern w:val="2"/>
                <w:sz w:val="24"/>
                <w:szCs w:val="24"/>
                <w:lang w:val="en-US" w:eastAsia="zh-CN" w:bidi="ar-SA"/>
              </w:rPr>
              <w:t>将劳务品牌与培训工种确定、劳动者需求、企业需求进行有效对接，增强培训的针对性和实效性，提高务工人员的技能水平和整体素质，促进转移就业。充分利用本地现有的培训资源，结合市场需求，引导培训机构以务工品牌为统领，培养出一批技能素质高的务工人员，提升务工人员的工匠素质。</w:t>
            </w:r>
          </w:p>
          <w:p>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仿宋" w:hAnsi="仿宋" w:eastAsia="仿宋" w:cs="仿宋"/>
                <w:color w:val="auto"/>
                <w:kern w:val="0"/>
                <w:sz w:val="32"/>
                <w:szCs w:val="32"/>
              </w:rPr>
            </w:pPr>
            <w:r>
              <w:rPr>
                <w:rFonts w:hint="eastAsia" w:ascii="仿宋" w:hAnsi="仿宋" w:eastAsia="仿宋" w:cs="仿宋"/>
                <w:b/>
                <w:bCs/>
                <w:color w:val="auto"/>
                <w:kern w:val="2"/>
                <w:sz w:val="24"/>
                <w:szCs w:val="24"/>
                <w:lang w:val="en-US" w:eastAsia="zh-CN" w:bidi="ar-SA"/>
              </w:rPr>
              <w:t>4.建立劳务品牌培训基地。</w:t>
            </w:r>
            <w:r>
              <w:rPr>
                <w:rFonts w:hint="eastAsia" w:ascii="仿宋" w:hAnsi="仿宋" w:eastAsia="仿宋" w:cs="仿宋"/>
                <w:color w:val="auto"/>
                <w:kern w:val="2"/>
                <w:sz w:val="24"/>
                <w:szCs w:val="24"/>
                <w:lang w:val="en-US" w:eastAsia="zh-CN" w:bidi="ar-SA"/>
              </w:rPr>
              <w:t>择优认定一批培训质量高、就业效果明显的培训机构，建立多工种、广覆盖的品牌培训基地，通过送训上门、校企联训、典型示范等多种方式，提升培训的质量和水平。对于一些有市场需求、有市场影响的品牌，进行复制推广。</w:t>
            </w:r>
          </w:p>
        </w:tc>
      </w:tr>
    </w:tbl>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促进农村劳动力就地就近就业。依托县域经济、乡村产业发展，为农村劳动力创造更多就地就近就业岗位。重大投资项目、各类基础设施建设优先吸纳当地农村劳动力就业。加大以工代赈实施力度，在农业农村基础设施建设领域积极推广以工代赈方式，广泛组织当地农村劳动力，优先吸纳农村低收入群体参与工程建设以及建成后的维修养护，并及时足额发放以工代赈劳务报酬。</w:t>
      </w:r>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加快农业转移人口市民化。继续全面放开城镇落户限制，试行以经常居住地登记户口制度。完善城乡双向流动的户口迁移政策，确保外地和本地农业转移人口进城落户标准一视同仁，推动在城镇稳定就业生活、具有落户意愿的农业转移人口便捷落户。完善财政转移支付同农业转移人口市民化挂钩、城镇建设用地年度指标分配依据同吸纳农业转移人口落户数量和提供保障性住房规模挂钩的政策。依法保障进城落户农民农村土地承包权、宅基地使用权、集体收益分配权，健全农户“三权”市场化退出机制和配套政策。提高基本公共服务均等化水平，推动农业转移人口全面融入城市。</w:t>
      </w:r>
      <w:bookmarkStart w:id="217" w:name="_Toc1693937655"/>
      <w:bookmarkStart w:id="218" w:name="_Toc902507492"/>
      <w:bookmarkStart w:id="219" w:name="_Toc156323664"/>
      <w:bookmarkStart w:id="220" w:name="_Toc1104554364"/>
      <w:bookmarkStart w:id="221" w:name="_Toc816301679"/>
      <w:bookmarkStart w:id="222" w:name="_Toc1057139173"/>
      <w:bookmarkStart w:id="223" w:name="_Toc1976322276"/>
      <w:bookmarkStart w:id="224" w:name="_Toc1078012240"/>
      <w:bookmarkStart w:id="225" w:name="_Toc788372319"/>
      <w:bookmarkStart w:id="226" w:name="_Toc1785057357"/>
      <w:bookmarkStart w:id="227" w:name="_Toc1711007333"/>
      <w:bookmarkStart w:id="228" w:name="_Toc703666185"/>
      <w:bookmarkStart w:id="229" w:name="_Toc2012533922"/>
      <w:bookmarkStart w:id="230" w:name="_Toc562268738"/>
      <w:bookmarkStart w:id="231" w:name="_Toc822286256"/>
      <w:bookmarkStart w:id="232" w:name="_Toc2019145917"/>
      <w:bookmarkStart w:id="233" w:name="_Toc166045097"/>
    </w:p>
    <w:tbl>
      <w:tblPr>
        <w:tblStyle w:val="12"/>
        <w:tblW w:w="90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07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558" w:hRule="atLeast"/>
          <w:jc w:val="center"/>
        </w:trPr>
        <w:tc>
          <w:tcPr>
            <w:tcW w:w="9072"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auto"/>
              <w:rPr>
                <w:rFonts w:hint="eastAsia" w:ascii="仿宋" w:hAnsi="仿宋" w:eastAsia="仿宋" w:cs="仿宋"/>
                <w:b/>
                <w:color w:val="auto"/>
                <w:kern w:val="0"/>
                <w:sz w:val="28"/>
                <w:szCs w:val="28"/>
              </w:rPr>
            </w:pPr>
            <w:r>
              <w:rPr>
                <w:rFonts w:hint="eastAsia" w:ascii="仿宋" w:hAnsi="仿宋" w:eastAsia="仿宋" w:cs="仿宋"/>
                <w:b/>
                <w:color w:val="auto"/>
                <w:kern w:val="0"/>
                <w:sz w:val="28"/>
                <w:szCs w:val="28"/>
              </w:rPr>
              <w:t>专栏</w:t>
            </w:r>
            <w:r>
              <w:rPr>
                <w:rFonts w:hint="eastAsia" w:ascii="仿宋" w:hAnsi="仿宋" w:eastAsia="仿宋" w:cs="仿宋"/>
                <w:b/>
                <w:color w:val="auto"/>
                <w:kern w:val="0"/>
                <w:sz w:val="28"/>
                <w:szCs w:val="28"/>
                <w:lang w:val="en-US" w:eastAsia="zh-CN"/>
              </w:rPr>
              <w:t>11</w:t>
            </w:r>
            <w:r>
              <w:rPr>
                <w:rFonts w:hint="eastAsia" w:ascii="仿宋" w:hAnsi="仿宋" w:eastAsia="仿宋" w:cs="仿宋"/>
                <w:b/>
                <w:color w:val="auto"/>
                <w:kern w:val="0"/>
                <w:sz w:val="28"/>
                <w:szCs w:val="28"/>
              </w:rPr>
              <w:t>：</w:t>
            </w:r>
            <w:r>
              <w:rPr>
                <w:rFonts w:hint="eastAsia" w:ascii="仿宋" w:hAnsi="仿宋" w:eastAsia="仿宋" w:cs="仿宋"/>
                <w:b/>
                <w:color w:val="auto"/>
                <w:kern w:val="0"/>
                <w:sz w:val="28"/>
                <w:szCs w:val="28"/>
                <w:lang w:val="en-US" w:eastAsia="zh-CN"/>
              </w:rPr>
              <w:t>实施农村劳动力转移就业“收入增百计划”</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jc w:val="center"/>
        </w:trPr>
        <w:tc>
          <w:tcPr>
            <w:tcW w:w="9072" w:type="dxa"/>
            <w:tcMar>
              <w:top w:w="0" w:type="dxa"/>
              <w:left w:w="108" w:type="dxa"/>
              <w:bottom w:w="0" w:type="dxa"/>
              <w:right w:w="108" w:type="dxa"/>
            </w:tcMar>
          </w:tcPr>
          <w:p>
            <w:pPr>
              <w:keepNext w:val="0"/>
              <w:keepLines w:val="0"/>
              <w:pageBreakBefore w:val="0"/>
              <w:kinsoku/>
              <w:wordWrap/>
              <w:overflowPunct/>
              <w:topLinePunct w:val="0"/>
              <w:autoSpaceDE/>
              <w:autoSpaceDN/>
              <w:bidi w:val="0"/>
              <w:adjustRightInd/>
              <w:snapToGrid w:val="0"/>
              <w:spacing w:line="400" w:lineRule="exact"/>
              <w:ind w:firstLine="482"/>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1.计划目标。</w:t>
            </w:r>
            <w:r>
              <w:rPr>
                <w:rFonts w:hint="eastAsia" w:ascii="仿宋" w:hAnsi="仿宋" w:eastAsia="仿宋" w:cs="仿宋"/>
                <w:color w:val="auto"/>
                <w:kern w:val="2"/>
                <w:sz w:val="24"/>
                <w:szCs w:val="24"/>
                <w:lang w:val="en-US" w:eastAsia="zh-CN" w:bidi="ar-SA"/>
              </w:rPr>
              <w:t>力争2021年起，每年我省农民工月均收入增加200元以上，到2025年，我省农民工月均务工收入达到全国平均水平。</w:t>
            </w:r>
          </w:p>
          <w:p>
            <w:pPr>
              <w:keepNext w:val="0"/>
              <w:keepLines w:val="0"/>
              <w:pageBreakBefore w:val="0"/>
              <w:kinsoku/>
              <w:wordWrap/>
              <w:overflowPunct/>
              <w:topLinePunct w:val="0"/>
              <w:autoSpaceDE/>
              <w:autoSpaceDN/>
              <w:bidi w:val="0"/>
              <w:adjustRightInd/>
              <w:snapToGrid w:val="0"/>
              <w:spacing w:line="400" w:lineRule="exact"/>
              <w:ind w:firstLine="482"/>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2.加大省外转移数量促增收</w:t>
            </w:r>
            <w:r>
              <w:rPr>
                <w:rFonts w:hint="eastAsia" w:ascii="仿宋" w:hAnsi="仿宋" w:eastAsia="仿宋" w:cs="仿宋"/>
                <w:color w:val="auto"/>
                <w:kern w:val="2"/>
                <w:sz w:val="24"/>
                <w:szCs w:val="24"/>
                <w:lang w:val="en-US" w:eastAsia="zh-CN" w:bidi="ar-SA"/>
              </w:rPr>
              <w:t>。持续深化东西部劳务协作机制，增强劳务协作的频度、广度和深度，加强与东部劳务输入地加强信息沟通、政策协调和工作配合，加大农村劳动力到省外转移就业的调结构力度。到2025年实现全省省外劳动力转移数量突破400万人。</w:t>
            </w:r>
          </w:p>
          <w:p>
            <w:pPr>
              <w:keepNext w:val="0"/>
              <w:keepLines w:val="0"/>
              <w:pageBreakBefore w:val="0"/>
              <w:kinsoku/>
              <w:wordWrap/>
              <w:overflowPunct/>
              <w:topLinePunct w:val="0"/>
              <w:autoSpaceDE/>
              <w:autoSpaceDN/>
              <w:bidi w:val="0"/>
              <w:adjustRightInd/>
              <w:snapToGrid w:val="0"/>
              <w:spacing w:line="400" w:lineRule="exact"/>
              <w:ind w:firstLine="482"/>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3.提升省内协作促增收。</w:t>
            </w:r>
            <w:r>
              <w:rPr>
                <w:rFonts w:hint="eastAsia" w:ascii="仿宋" w:hAnsi="仿宋" w:eastAsia="仿宋" w:cs="仿宋"/>
                <w:color w:val="auto"/>
                <w:kern w:val="2"/>
                <w:sz w:val="24"/>
                <w:szCs w:val="24"/>
                <w:lang w:val="en-US" w:eastAsia="zh-CN" w:bidi="ar-SA"/>
              </w:rPr>
              <w:t>加强统筹联动，开展省内劳务对接，组织欠发达地区农村劳动力向中心城市输出，建立省内区域间劳务协作关系。同时，鼓励有条件的地区围绕外出务工的行业和地域分布优势，集中打造一批有特色的务工品牌，促进农村劳动力跨地区、跨县区转移就业。到2025年实现全省省内县外劳动力转移数量突破350万人。</w:t>
            </w:r>
          </w:p>
          <w:p>
            <w:pPr>
              <w:keepNext w:val="0"/>
              <w:keepLines w:val="0"/>
              <w:pageBreakBefore w:val="0"/>
              <w:kinsoku/>
              <w:wordWrap/>
              <w:overflowPunct/>
              <w:topLinePunct w:val="0"/>
              <w:autoSpaceDE/>
              <w:autoSpaceDN/>
              <w:bidi w:val="0"/>
              <w:adjustRightInd/>
              <w:snapToGrid w:val="0"/>
              <w:spacing w:line="400" w:lineRule="exact"/>
              <w:ind w:firstLine="482"/>
              <w:textAlignment w:val="auto"/>
              <w:rPr>
                <w:rFonts w:hint="eastAsia" w:ascii="仿宋" w:hAnsi="仿宋" w:eastAsia="仿宋" w:cs="仿宋"/>
                <w:color w:val="auto"/>
                <w:kern w:val="2"/>
                <w:sz w:val="24"/>
                <w:szCs w:val="24"/>
                <w:lang w:val="zh-CN" w:eastAsia="zh-CN" w:bidi="ar-SA"/>
              </w:rPr>
            </w:pPr>
            <w:r>
              <w:rPr>
                <w:rFonts w:hint="eastAsia" w:ascii="仿宋" w:hAnsi="仿宋" w:eastAsia="仿宋" w:cs="仿宋"/>
                <w:b/>
                <w:bCs/>
                <w:color w:val="auto"/>
                <w:kern w:val="2"/>
                <w:sz w:val="24"/>
                <w:szCs w:val="24"/>
                <w:lang w:val="en-US" w:eastAsia="zh-CN" w:bidi="ar-SA"/>
              </w:rPr>
              <w:t>4.增加稳定务工时间促增收。</w:t>
            </w:r>
            <w:r>
              <w:rPr>
                <w:rFonts w:hint="eastAsia" w:ascii="仿宋" w:hAnsi="仿宋" w:eastAsia="仿宋" w:cs="仿宋"/>
                <w:color w:val="auto"/>
                <w:kern w:val="2"/>
                <w:sz w:val="24"/>
                <w:szCs w:val="24"/>
                <w:lang w:val="zh-CN" w:eastAsia="zh-CN" w:bidi="ar-SA"/>
              </w:rPr>
              <w:t>加强人社、民政、教育、工青妇等部门间协作联动，千方百计帮助农民工解决子女入学、老人赡养等现实矛盾困难。引导</w:t>
            </w:r>
            <w:r>
              <w:rPr>
                <w:rFonts w:hint="eastAsia" w:ascii="仿宋" w:hAnsi="仿宋" w:eastAsia="仿宋" w:cs="仿宋"/>
                <w:color w:val="auto"/>
                <w:kern w:val="2"/>
                <w:sz w:val="24"/>
                <w:szCs w:val="24"/>
                <w:lang w:val="en-US" w:eastAsia="zh-CN" w:bidi="ar-SA"/>
              </w:rPr>
              <w:t>务工时间在6个月以下农村劳动力</w:t>
            </w:r>
            <w:r>
              <w:rPr>
                <w:rFonts w:hint="eastAsia" w:ascii="仿宋" w:hAnsi="仿宋" w:eastAsia="仿宋" w:cs="仿宋"/>
                <w:color w:val="auto"/>
                <w:kern w:val="2"/>
                <w:sz w:val="24"/>
                <w:szCs w:val="24"/>
                <w:lang w:val="zh-CN" w:eastAsia="zh-CN" w:bidi="ar-SA"/>
              </w:rPr>
              <w:t>向更稳定、更长期务工的岗位上转移。</w:t>
            </w:r>
            <w:r>
              <w:rPr>
                <w:rFonts w:hint="eastAsia" w:ascii="仿宋" w:hAnsi="仿宋" w:eastAsia="仿宋" w:cs="仿宋"/>
                <w:color w:val="auto"/>
                <w:kern w:val="2"/>
                <w:sz w:val="24"/>
                <w:szCs w:val="24"/>
                <w:lang w:val="en-US" w:eastAsia="zh-CN" w:bidi="ar-SA"/>
              </w:rPr>
              <w:t>到2025年我省农村劳动力转移就业中务工时间在6个月以上的占比增加到75%以上。</w:t>
            </w:r>
          </w:p>
          <w:p>
            <w:pPr>
              <w:keepNext w:val="0"/>
              <w:keepLines w:val="0"/>
              <w:pageBreakBefore w:val="0"/>
              <w:kinsoku/>
              <w:wordWrap/>
              <w:overflowPunct/>
              <w:topLinePunct w:val="0"/>
              <w:autoSpaceDE/>
              <w:autoSpaceDN/>
              <w:bidi w:val="0"/>
              <w:adjustRightInd/>
              <w:snapToGrid w:val="0"/>
              <w:spacing w:line="400" w:lineRule="exact"/>
              <w:ind w:firstLine="482"/>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5.提高职业技能促增收。</w:t>
            </w:r>
            <w:r>
              <w:rPr>
                <w:rFonts w:hint="eastAsia" w:ascii="仿宋" w:hAnsi="仿宋" w:eastAsia="仿宋" w:cs="仿宋"/>
                <w:color w:val="auto"/>
                <w:kern w:val="2"/>
                <w:sz w:val="24"/>
                <w:szCs w:val="24"/>
                <w:lang w:val="zh-CN" w:eastAsia="zh-CN" w:bidi="ar-SA"/>
              </w:rPr>
              <w:t>充分发挥职业技能培训、创业培训补贴标准目录的指导作用，使培训项目与云南经济社会发展布局相契合，加强公共就业服务，加强就业后的就业帮扶，</w:t>
            </w:r>
            <w:r>
              <w:rPr>
                <w:rFonts w:hint="eastAsia" w:ascii="仿宋" w:hAnsi="仿宋" w:eastAsia="仿宋" w:cs="仿宋"/>
                <w:color w:val="auto"/>
                <w:kern w:val="2"/>
                <w:sz w:val="24"/>
                <w:szCs w:val="24"/>
                <w:lang w:val="en-US" w:eastAsia="zh-CN" w:bidi="ar-SA"/>
              </w:rPr>
              <w:t>逐步提高培训后农村劳动力转移就业率。到2025年实现全省农村劳动力职业技能培训80万人。</w:t>
            </w:r>
          </w:p>
          <w:p>
            <w:pPr>
              <w:keepNext w:val="0"/>
              <w:keepLines w:val="0"/>
              <w:pageBreakBefore w:val="0"/>
              <w:kinsoku/>
              <w:wordWrap/>
              <w:overflowPunct/>
              <w:topLinePunct w:val="0"/>
              <w:autoSpaceDE/>
              <w:autoSpaceDN/>
              <w:bidi w:val="0"/>
              <w:adjustRightInd/>
              <w:snapToGrid w:val="0"/>
              <w:spacing w:line="400" w:lineRule="exact"/>
              <w:ind w:firstLine="482"/>
              <w:textAlignment w:val="auto"/>
              <w:rPr>
                <w:rFonts w:hint="eastAsia" w:ascii="仿宋" w:hAnsi="仿宋" w:eastAsia="仿宋" w:cs="仿宋"/>
                <w:color w:val="auto"/>
                <w:sz w:val="32"/>
                <w:szCs w:val="32"/>
              </w:rPr>
            </w:pPr>
            <w:r>
              <w:rPr>
                <w:rFonts w:hint="eastAsia" w:ascii="仿宋" w:hAnsi="仿宋" w:eastAsia="仿宋" w:cs="仿宋"/>
                <w:b/>
                <w:bCs/>
                <w:color w:val="auto"/>
                <w:kern w:val="2"/>
                <w:sz w:val="24"/>
                <w:szCs w:val="24"/>
                <w:lang w:val="en-US" w:eastAsia="zh-CN" w:bidi="ar-SA"/>
              </w:rPr>
              <w:t>6.帮扶创业促增收</w:t>
            </w:r>
            <w:r>
              <w:rPr>
                <w:rFonts w:hint="eastAsia" w:ascii="仿宋" w:hAnsi="仿宋" w:eastAsia="仿宋" w:cs="仿宋"/>
                <w:color w:val="auto"/>
                <w:kern w:val="2"/>
                <w:sz w:val="24"/>
                <w:szCs w:val="24"/>
                <w:lang w:val="en-US" w:eastAsia="zh-CN" w:bidi="ar-SA"/>
              </w:rPr>
              <w:t>。加大“贷免扶补”、创业担保贷款扶持，为返乡创业者提供个性化和专业化创业帮扶，提高创业成功率。每年扶持农村劳动力创业人数不低于当年扶持创业目标任务的60%。</w:t>
            </w:r>
          </w:p>
        </w:tc>
      </w:tr>
    </w:tbl>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楷体" w:hAnsi="楷体" w:eastAsia="楷体" w:cs="楷体"/>
          <w:bCs/>
          <w:color w:val="auto"/>
          <w:kern w:val="44"/>
          <w:sz w:val="32"/>
          <w:szCs w:val="32"/>
          <w:u w:color="000000"/>
        </w:rPr>
        <w:t>（二十四）统筹其他重点群体就</w:t>
      </w:r>
      <w:bookmarkEnd w:id="217"/>
      <w:r>
        <w:rPr>
          <w:rFonts w:hint="eastAsia" w:ascii="楷体" w:hAnsi="楷体" w:eastAsia="楷体" w:cs="楷体"/>
          <w:bCs/>
          <w:color w:val="auto"/>
          <w:kern w:val="44"/>
          <w:sz w:val="32"/>
          <w:szCs w:val="32"/>
          <w:u w:color="000000"/>
        </w:rPr>
        <w:t>业</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Fonts w:hint="eastAsia" w:ascii="仿宋" w:hAnsi="仿宋" w:eastAsia="仿宋" w:cs="仿宋"/>
          <w:bCs/>
          <w:color w:val="auto"/>
          <w:kern w:val="44"/>
          <w:sz w:val="32"/>
          <w:szCs w:val="32"/>
          <w:u w:color="000000"/>
        </w:rPr>
        <w:t>。</w:t>
      </w:r>
      <w:r>
        <w:rPr>
          <w:rFonts w:hint="eastAsia" w:ascii="仿宋" w:hAnsi="仿宋" w:eastAsia="仿宋" w:cs="仿宋"/>
          <w:color w:val="auto"/>
          <w:sz w:val="32"/>
          <w:szCs w:val="32"/>
          <w:u w:color="000000"/>
        </w:rPr>
        <w:t>稳定脱贫人口就业。健全脱贫人口、农村低收入人口就业帮扶长效机制，保持脱贫人口就业领域的扶持政策、资金支持、帮扶力量总体稳定</w:t>
      </w:r>
      <w:r>
        <w:rPr>
          <w:rFonts w:hint="eastAsia" w:ascii="仿宋" w:hAnsi="仿宋" w:eastAsia="仿宋" w:cs="仿宋"/>
          <w:color w:val="auto"/>
          <w:sz w:val="32"/>
          <w:szCs w:val="32"/>
          <w:u w:color="000000"/>
          <w:lang w:eastAsia="zh-CN"/>
        </w:rPr>
        <w:t>，</w:t>
      </w:r>
      <w:r>
        <w:rPr>
          <w:rFonts w:hint="eastAsia" w:ascii="仿宋" w:hAnsi="仿宋" w:eastAsia="仿宋" w:cs="仿宋"/>
          <w:color w:val="auto"/>
          <w:sz w:val="32"/>
          <w:szCs w:val="32"/>
          <w:u w:color="000000"/>
        </w:rPr>
        <w:t>保持脱贫人口就业规模总体稳定。健全有组织劳务输出工作机制，将脱贫人口作为优先保障对象，稳定外出务工规模。充分发挥“政府救助平台”作用，确保</w:t>
      </w:r>
      <w:r>
        <w:rPr>
          <w:rFonts w:hint="eastAsia" w:ascii="仿宋" w:hAnsi="仿宋" w:eastAsia="仿宋" w:cs="仿宋"/>
          <w:color w:val="auto"/>
          <w:sz w:val="32"/>
          <w:szCs w:val="32"/>
          <w:u w:color="000000"/>
          <w:lang w:eastAsia="zh-CN"/>
        </w:rPr>
        <w:t>有就业意愿的低收入群体</w:t>
      </w:r>
      <w:r>
        <w:rPr>
          <w:rFonts w:hint="eastAsia" w:ascii="仿宋" w:hAnsi="仿宋" w:eastAsia="仿宋" w:cs="仿宋"/>
          <w:color w:val="auto"/>
          <w:sz w:val="32"/>
          <w:szCs w:val="32"/>
          <w:u w:color="000000"/>
        </w:rPr>
        <w:t>就业帮扶有保障。支持脱贫地区大力发展当地优势特色产业，继续发挥就业帮扶车间、社区工厂、卫星工厂等就业载体作用，为脱贫人口创造就地就近就业机会。聚焦乡村振兴重点帮扶县、易地扶贫搬迁安置区，积极引进适合当地群众就业需求的劳动密集型、生态友好型企业（项目），增加本地就业岗位，组织专项就业服务活动实施集中帮扶。</w:t>
      </w:r>
    </w:p>
    <w:p>
      <w:pPr>
        <w:pStyle w:val="2"/>
        <w:rPr>
          <w:rFonts w:hint="eastAsia"/>
        </w:rPr>
      </w:pPr>
    </w:p>
    <w:tbl>
      <w:tblPr>
        <w:tblStyle w:val="12"/>
        <w:tblW w:w="9072" w:type="dxa"/>
        <w:jc w:val="center"/>
        <w:tblInd w:w="0" w:type="dxa"/>
        <w:tblLayout w:type="fixed"/>
        <w:tblCellMar>
          <w:top w:w="0" w:type="dxa"/>
          <w:left w:w="0" w:type="dxa"/>
          <w:bottom w:w="0" w:type="dxa"/>
          <w:right w:w="0" w:type="dxa"/>
        </w:tblCellMar>
      </w:tblPr>
      <w:tblGrid>
        <w:gridCol w:w="9072"/>
      </w:tblGrid>
      <w:tr>
        <w:tblPrEx>
          <w:tblLayout w:type="fixed"/>
          <w:tblCellMar>
            <w:top w:w="0" w:type="dxa"/>
            <w:left w:w="0" w:type="dxa"/>
            <w:bottom w:w="0" w:type="dxa"/>
            <w:right w:w="0" w:type="dxa"/>
          </w:tblCellMar>
        </w:tblPrEx>
        <w:trPr>
          <w:trHeight w:val="558" w:hRule="atLeast"/>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color w:val="auto"/>
                <w:kern w:val="0"/>
                <w:sz w:val="28"/>
                <w:szCs w:val="28"/>
              </w:rPr>
            </w:pPr>
            <w:r>
              <w:rPr>
                <w:rFonts w:hint="eastAsia" w:ascii="仿宋" w:hAnsi="仿宋" w:eastAsia="仿宋" w:cs="仿宋"/>
                <w:b/>
                <w:color w:val="auto"/>
                <w:kern w:val="0"/>
                <w:sz w:val="28"/>
                <w:szCs w:val="28"/>
              </w:rPr>
              <w:t>专栏</w:t>
            </w:r>
            <w:r>
              <w:rPr>
                <w:rFonts w:hint="eastAsia" w:ascii="仿宋" w:hAnsi="仿宋" w:eastAsia="仿宋" w:cs="仿宋"/>
                <w:b/>
                <w:color w:val="auto"/>
                <w:kern w:val="0"/>
                <w:sz w:val="28"/>
                <w:szCs w:val="28"/>
                <w:lang w:val="en-US" w:eastAsia="zh-CN"/>
              </w:rPr>
              <w:t>12</w:t>
            </w:r>
            <w:r>
              <w:rPr>
                <w:rFonts w:hint="eastAsia" w:ascii="仿宋" w:hAnsi="仿宋" w:eastAsia="仿宋" w:cs="仿宋"/>
                <w:b/>
                <w:color w:val="auto"/>
                <w:kern w:val="0"/>
                <w:sz w:val="28"/>
                <w:szCs w:val="28"/>
              </w:rPr>
              <w:t>：实施</w:t>
            </w:r>
            <w:r>
              <w:rPr>
                <w:rFonts w:hint="eastAsia" w:ascii="仿宋" w:hAnsi="仿宋" w:eastAsia="仿宋" w:cs="仿宋"/>
                <w:b/>
                <w:color w:val="auto"/>
                <w:sz w:val="28"/>
                <w:szCs w:val="28"/>
              </w:rPr>
              <w:t>易地扶贫搬迁群众就业帮扶巩固提升行动</w:t>
            </w:r>
          </w:p>
        </w:tc>
      </w:tr>
      <w:tr>
        <w:tblPrEx>
          <w:tblLayout w:type="fixed"/>
          <w:tblCellMar>
            <w:top w:w="0" w:type="dxa"/>
            <w:left w:w="0" w:type="dxa"/>
            <w:bottom w:w="0" w:type="dxa"/>
            <w:right w:w="0" w:type="dxa"/>
          </w:tblCellMar>
        </w:tblPrEx>
        <w:trPr>
          <w:jc w:val="center"/>
        </w:trPr>
        <w:tc>
          <w:tcPr>
            <w:tcW w:w="9072"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pStyle w:val="11"/>
              <w:keepNext w:val="0"/>
              <w:keepLines w:val="0"/>
              <w:pageBreakBefore w:val="0"/>
              <w:widowControl w:val="0"/>
              <w:kinsoku/>
              <w:wordWrap/>
              <w:overflowPunct/>
              <w:topLinePunct w:val="0"/>
              <w:autoSpaceDE/>
              <w:autoSpaceDN/>
              <w:bidi w:val="0"/>
              <w:adjustRightInd/>
              <w:snapToGrid/>
              <w:spacing w:line="400" w:lineRule="exact"/>
              <w:ind w:left="0" w:leftChars="0" w:firstLine="482" w:firstLineChars="200"/>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1.实现易迁点就业服务全覆盖。</w:t>
            </w:r>
            <w:r>
              <w:rPr>
                <w:rFonts w:hint="eastAsia" w:ascii="仿宋" w:hAnsi="仿宋" w:eastAsia="仿宋" w:cs="仿宋"/>
                <w:color w:val="auto"/>
                <w:kern w:val="2"/>
                <w:sz w:val="24"/>
                <w:szCs w:val="24"/>
                <w:lang w:val="en-US" w:eastAsia="zh-CN" w:bidi="ar-SA"/>
              </w:rPr>
              <w:t>2025年实现易迁点就业创业服务站（点）或就业服务专员全覆盖。搬迁规模800人以上的易迁点继续保持现有就业创业服务站（点）或就业服务窗口和专职人员稳定，并按规定给予就业创业服务工作站经费补贴；搬迁规模800人以下的易迁点设置就业创业服务点或服务专员为搬迁群众开展就业创业服务工作。</w:t>
            </w:r>
          </w:p>
          <w:p>
            <w:pPr>
              <w:pStyle w:val="2"/>
              <w:keepNext w:val="0"/>
              <w:keepLines w:val="0"/>
              <w:pageBreakBefore w:val="0"/>
              <w:kinsoku/>
              <w:wordWrap/>
              <w:overflowPunct/>
              <w:topLinePunct w:val="0"/>
              <w:autoSpaceDE/>
              <w:autoSpaceDN/>
              <w:bidi w:val="0"/>
              <w:adjustRightInd/>
              <w:snapToGrid/>
              <w:spacing w:after="0" w:line="400" w:lineRule="exact"/>
              <w:ind w:firstLine="482" w:firstLineChars="200"/>
              <w:textAlignment w:val="auto"/>
              <w:rPr>
                <w:rFonts w:hint="eastAsia" w:ascii="仿宋" w:hAnsi="仿宋" w:eastAsia="仿宋" w:cs="仿宋"/>
                <w:color w:val="auto"/>
                <w:sz w:val="24"/>
                <w:szCs w:val="24"/>
              </w:rPr>
            </w:pPr>
            <w:r>
              <w:rPr>
                <w:rFonts w:hint="eastAsia" w:ascii="仿宋" w:hAnsi="仿宋" w:eastAsia="仿宋" w:cs="仿宋"/>
                <w:b/>
                <w:bCs/>
                <w:color w:val="auto"/>
                <w:kern w:val="2"/>
                <w:sz w:val="24"/>
                <w:szCs w:val="24"/>
                <w:lang w:val="en-US" w:eastAsia="zh-CN" w:bidi="ar-SA"/>
              </w:rPr>
              <w:t>2.全面提升易迁点就业服务水平。</w:t>
            </w:r>
            <w:r>
              <w:rPr>
                <w:rFonts w:hint="eastAsia" w:ascii="仿宋" w:hAnsi="仿宋" w:eastAsia="仿宋" w:cs="仿宋"/>
                <w:color w:val="auto"/>
                <w:sz w:val="24"/>
                <w:szCs w:val="24"/>
              </w:rPr>
              <w:t>在万人以上大型安置区，</w:t>
            </w:r>
            <w:r>
              <w:rPr>
                <w:rFonts w:hint="eastAsia" w:ascii="仿宋" w:hAnsi="仿宋" w:eastAsia="仿宋" w:cs="仿宋"/>
                <w:color w:val="auto"/>
                <w:sz w:val="24"/>
                <w:szCs w:val="24"/>
                <w:lang w:eastAsia="zh-CN"/>
              </w:rPr>
              <w:t>加强</w:t>
            </w:r>
            <w:r>
              <w:rPr>
                <w:rFonts w:hint="eastAsia" w:ascii="仿宋" w:hAnsi="仿宋" w:eastAsia="仿宋" w:cs="仿宋"/>
                <w:color w:val="auto"/>
                <w:sz w:val="24"/>
                <w:szCs w:val="24"/>
              </w:rPr>
              <w:t>就业服务站点或专门服务窗口</w:t>
            </w:r>
            <w:r>
              <w:rPr>
                <w:rFonts w:hint="eastAsia" w:ascii="仿宋" w:hAnsi="仿宋" w:eastAsia="仿宋" w:cs="仿宋"/>
                <w:color w:val="auto"/>
                <w:sz w:val="24"/>
                <w:szCs w:val="24"/>
                <w:lang w:eastAsia="zh-CN"/>
              </w:rPr>
              <w:t>工作人员力量</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及时全面</w:t>
            </w:r>
            <w:r>
              <w:rPr>
                <w:rFonts w:hint="eastAsia" w:ascii="仿宋" w:hAnsi="仿宋" w:eastAsia="仿宋" w:cs="仿宋"/>
                <w:color w:val="auto"/>
                <w:sz w:val="24"/>
                <w:szCs w:val="24"/>
              </w:rPr>
              <w:t>掌握搬迁群众就业需求、意愿和技能等情况，做到动态精准帮扶。推广“就业帮扶直通车”系统，积极开展线上精准就业推荐服务，为安置区群众提供更多岗位选择。开展培训进安置区活动，集中组织技能培训，提升搬迁群众就业能力。</w:t>
            </w:r>
          </w:p>
          <w:p>
            <w:pPr>
              <w:pStyle w:val="2"/>
              <w:keepNext w:val="0"/>
              <w:keepLines w:val="0"/>
              <w:pageBreakBefore w:val="0"/>
              <w:kinsoku/>
              <w:wordWrap/>
              <w:overflowPunct/>
              <w:topLinePunct w:val="0"/>
              <w:autoSpaceDE/>
              <w:autoSpaceDN/>
              <w:bidi w:val="0"/>
              <w:adjustRightInd/>
              <w:snapToGrid/>
              <w:spacing w:after="0" w:line="400" w:lineRule="exact"/>
              <w:ind w:firstLine="482" w:firstLineChars="200"/>
              <w:textAlignment w:val="auto"/>
              <w:rPr>
                <w:rFonts w:hint="eastAsia" w:ascii="仿宋" w:hAnsi="仿宋" w:eastAsia="仿宋" w:cs="仿宋"/>
                <w:color w:val="auto"/>
                <w:kern w:val="0"/>
                <w:sz w:val="24"/>
                <w:szCs w:val="24"/>
              </w:rPr>
            </w:pPr>
            <w:r>
              <w:rPr>
                <w:rFonts w:hint="eastAsia" w:ascii="仿宋" w:hAnsi="仿宋" w:eastAsia="仿宋" w:cs="仿宋"/>
                <w:b/>
                <w:color w:val="auto"/>
                <w:kern w:val="0"/>
                <w:sz w:val="24"/>
                <w:szCs w:val="24"/>
                <w:lang w:val="en-US" w:eastAsia="zh-CN"/>
              </w:rPr>
              <w:t>3</w:t>
            </w:r>
            <w:r>
              <w:rPr>
                <w:rFonts w:hint="eastAsia" w:ascii="仿宋" w:hAnsi="仿宋" w:eastAsia="仿宋" w:cs="仿宋"/>
                <w:b/>
                <w:color w:val="auto"/>
                <w:kern w:val="0"/>
                <w:sz w:val="24"/>
                <w:szCs w:val="24"/>
              </w:rPr>
              <w:t>.</w:t>
            </w:r>
            <w:r>
              <w:rPr>
                <w:rFonts w:hint="eastAsia" w:ascii="仿宋" w:hAnsi="仿宋" w:eastAsia="仿宋" w:cs="仿宋"/>
                <w:b/>
                <w:color w:val="auto"/>
                <w:kern w:val="0"/>
                <w:sz w:val="24"/>
                <w:szCs w:val="24"/>
                <w:lang w:eastAsia="zh-CN"/>
              </w:rPr>
              <w:t>加大支持</w:t>
            </w:r>
            <w:r>
              <w:rPr>
                <w:rFonts w:hint="eastAsia" w:ascii="仿宋" w:hAnsi="仿宋" w:eastAsia="仿宋" w:cs="仿宋"/>
                <w:b/>
                <w:color w:val="auto"/>
                <w:sz w:val="24"/>
                <w:szCs w:val="24"/>
              </w:rPr>
              <w:t>就近</w:t>
            </w:r>
            <w:r>
              <w:rPr>
                <w:rFonts w:hint="eastAsia" w:ascii="仿宋" w:hAnsi="仿宋" w:eastAsia="仿宋" w:cs="仿宋"/>
                <w:b/>
                <w:color w:val="auto"/>
                <w:sz w:val="24"/>
                <w:szCs w:val="24"/>
                <w:lang w:eastAsia="zh-CN"/>
              </w:rPr>
              <w:t>就地</w:t>
            </w:r>
            <w:r>
              <w:rPr>
                <w:rFonts w:hint="eastAsia" w:ascii="仿宋" w:hAnsi="仿宋" w:eastAsia="仿宋" w:cs="仿宋"/>
                <w:b/>
                <w:color w:val="auto"/>
                <w:sz w:val="24"/>
                <w:szCs w:val="24"/>
              </w:rPr>
              <w:t>就业</w:t>
            </w:r>
            <w:r>
              <w:rPr>
                <w:rFonts w:hint="eastAsia" w:ascii="仿宋" w:hAnsi="仿宋" w:eastAsia="仿宋" w:cs="仿宋"/>
                <w:b/>
                <w:color w:val="auto"/>
                <w:sz w:val="24"/>
                <w:szCs w:val="24"/>
                <w:lang w:eastAsia="zh-CN"/>
              </w:rPr>
              <w:t>力度</w:t>
            </w:r>
            <w:r>
              <w:rPr>
                <w:rFonts w:hint="eastAsia" w:ascii="仿宋" w:hAnsi="仿宋" w:eastAsia="仿宋" w:cs="仿宋"/>
                <w:b/>
                <w:color w:val="auto"/>
                <w:kern w:val="0"/>
                <w:sz w:val="24"/>
                <w:szCs w:val="24"/>
              </w:rPr>
              <w:t>。</w:t>
            </w:r>
            <w:r>
              <w:rPr>
                <w:rFonts w:hint="eastAsia" w:ascii="仿宋" w:hAnsi="仿宋" w:eastAsia="仿宋" w:cs="仿宋"/>
                <w:color w:val="auto"/>
                <w:kern w:val="0"/>
                <w:sz w:val="24"/>
                <w:szCs w:val="24"/>
              </w:rPr>
              <w:t>支持安置区充分利用特色资源，对接外部市场，大力发展配套产业，有条件的大型安置区新建、改（扩）建、提升一批配套产业园，吸纳搬迁群众就业。加大安置区以工代赈实施力度。</w:t>
            </w:r>
          </w:p>
          <w:p>
            <w:pPr>
              <w:pStyle w:val="2"/>
              <w:keepNext w:val="0"/>
              <w:keepLines w:val="0"/>
              <w:pageBreakBefore w:val="0"/>
              <w:kinsoku/>
              <w:wordWrap/>
              <w:overflowPunct/>
              <w:topLinePunct w:val="0"/>
              <w:autoSpaceDE/>
              <w:autoSpaceDN/>
              <w:bidi w:val="0"/>
              <w:adjustRightInd/>
              <w:snapToGrid/>
              <w:spacing w:after="0" w:line="400" w:lineRule="exact"/>
              <w:ind w:firstLine="482" w:firstLineChars="200"/>
              <w:textAlignment w:val="auto"/>
              <w:rPr>
                <w:rFonts w:hint="eastAsia" w:ascii="仿宋" w:hAnsi="仿宋" w:eastAsia="仿宋" w:cs="仿宋"/>
                <w:color w:val="auto"/>
                <w:sz w:val="24"/>
                <w:szCs w:val="24"/>
              </w:rPr>
            </w:pPr>
            <w:r>
              <w:rPr>
                <w:rFonts w:hint="eastAsia" w:ascii="仿宋" w:hAnsi="仿宋" w:eastAsia="仿宋" w:cs="仿宋"/>
                <w:b/>
                <w:color w:val="auto"/>
                <w:kern w:val="0"/>
                <w:sz w:val="24"/>
                <w:szCs w:val="24"/>
                <w:lang w:val="en-US" w:eastAsia="zh-CN"/>
              </w:rPr>
              <w:t>4</w:t>
            </w:r>
            <w:r>
              <w:rPr>
                <w:rFonts w:hint="eastAsia" w:ascii="仿宋" w:hAnsi="仿宋" w:eastAsia="仿宋" w:cs="仿宋"/>
                <w:b/>
                <w:color w:val="auto"/>
                <w:kern w:val="0"/>
                <w:sz w:val="24"/>
                <w:szCs w:val="24"/>
              </w:rPr>
              <w:t>.</w:t>
            </w:r>
            <w:r>
              <w:rPr>
                <w:rFonts w:hint="eastAsia" w:ascii="仿宋" w:hAnsi="仿宋" w:eastAsia="仿宋" w:cs="仿宋"/>
                <w:b/>
                <w:color w:val="auto"/>
                <w:kern w:val="0"/>
                <w:sz w:val="24"/>
                <w:szCs w:val="24"/>
                <w:lang w:eastAsia="zh-CN"/>
              </w:rPr>
              <w:t>实施</w:t>
            </w:r>
            <w:r>
              <w:rPr>
                <w:rFonts w:hint="eastAsia" w:ascii="仿宋" w:hAnsi="仿宋" w:eastAsia="仿宋" w:cs="仿宋"/>
                <w:b/>
                <w:color w:val="auto"/>
                <w:kern w:val="0"/>
                <w:sz w:val="24"/>
                <w:szCs w:val="24"/>
              </w:rPr>
              <w:t>有组织</w:t>
            </w:r>
            <w:r>
              <w:rPr>
                <w:rFonts w:hint="eastAsia" w:ascii="仿宋" w:hAnsi="仿宋" w:eastAsia="仿宋" w:cs="仿宋"/>
                <w:b/>
                <w:color w:val="auto"/>
                <w:sz w:val="24"/>
                <w:szCs w:val="24"/>
              </w:rPr>
              <w:t>劳务输出计划。</w:t>
            </w:r>
            <w:r>
              <w:rPr>
                <w:rFonts w:hint="eastAsia" w:ascii="仿宋" w:hAnsi="仿宋" w:eastAsia="仿宋" w:cs="仿宋"/>
                <w:color w:val="auto"/>
                <w:sz w:val="24"/>
                <w:szCs w:val="24"/>
                <w:lang w:eastAsia="zh-CN"/>
              </w:rPr>
              <w:t>继续</w:t>
            </w:r>
            <w:r>
              <w:rPr>
                <w:rFonts w:hint="eastAsia" w:ascii="仿宋" w:hAnsi="仿宋" w:eastAsia="仿宋" w:cs="仿宋"/>
                <w:color w:val="auto"/>
                <w:sz w:val="24"/>
                <w:szCs w:val="24"/>
              </w:rPr>
              <w:t>将搬迁群众作为重点输出对象，为有集中外出务工需求的提供便利出行服务。充分发挥东西部协作、对口支援和省域内市际、县际协作等机制作用，拓宽搬迁群众外出就业渠道。</w:t>
            </w:r>
          </w:p>
          <w:p>
            <w:pPr>
              <w:pStyle w:val="2"/>
              <w:keepNext w:val="0"/>
              <w:keepLines w:val="0"/>
              <w:pageBreakBefore w:val="0"/>
              <w:kinsoku/>
              <w:wordWrap/>
              <w:overflowPunct/>
              <w:topLinePunct w:val="0"/>
              <w:autoSpaceDE/>
              <w:autoSpaceDN/>
              <w:bidi w:val="0"/>
              <w:adjustRightInd/>
              <w:snapToGrid/>
              <w:spacing w:after="0" w:line="400" w:lineRule="exact"/>
              <w:ind w:firstLine="482" w:firstLineChars="200"/>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lang w:val="en-US" w:eastAsia="zh-CN"/>
              </w:rPr>
              <w:t>5</w:t>
            </w:r>
            <w:r>
              <w:rPr>
                <w:rFonts w:hint="eastAsia" w:ascii="仿宋" w:hAnsi="仿宋" w:eastAsia="仿宋" w:cs="仿宋"/>
                <w:b/>
                <w:color w:val="auto"/>
                <w:sz w:val="24"/>
                <w:szCs w:val="24"/>
              </w:rPr>
              <w:t>.</w:t>
            </w:r>
            <w:r>
              <w:rPr>
                <w:rFonts w:hint="eastAsia" w:ascii="仿宋" w:hAnsi="仿宋" w:eastAsia="仿宋" w:cs="仿宋"/>
                <w:b/>
                <w:color w:val="auto"/>
                <w:sz w:val="24"/>
                <w:szCs w:val="24"/>
                <w:lang w:eastAsia="zh-CN"/>
              </w:rPr>
              <w:t>实施</w:t>
            </w:r>
            <w:r>
              <w:rPr>
                <w:rFonts w:hint="eastAsia" w:ascii="仿宋" w:hAnsi="仿宋" w:eastAsia="仿宋" w:cs="仿宋"/>
                <w:b/>
                <w:color w:val="auto"/>
                <w:sz w:val="24"/>
                <w:szCs w:val="24"/>
              </w:rPr>
              <w:t>创业支持计划。</w:t>
            </w:r>
            <w:r>
              <w:rPr>
                <w:rFonts w:hint="eastAsia" w:ascii="仿宋" w:hAnsi="仿宋" w:eastAsia="仿宋" w:cs="仿宋"/>
                <w:color w:val="auto"/>
                <w:sz w:val="24"/>
                <w:szCs w:val="24"/>
              </w:rPr>
              <w:t>鼓励安置区内的产业园对搬迁群众创办的企业给予优惠政策。支持有条件的安置区加强创业孵化载体建设，根据入驻实体数量、孵化效果和带动就业成效给予一定奖补。鼓励金融机构针对搬迁群众创业，开发适合的金融产品。</w:t>
            </w:r>
          </w:p>
          <w:p>
            <w:pPr>
              <w:pStyle w:val="2"/>
              <w:keepNext w:val="0"/>
              <w:keepLines w:val="0"/>
              <w:pageBreakBefore w:val="0"/>
              <w:kinsoku/>
              <w:wordWrap/>
              <w:overflowPunct/>
              <w:topLinePunct w:val="0"/>
              <w:autoSpaceDE/>
              <w:autoSpaceDN/>
              <w:bidi w:val="0"/>
              <w:adjustRightInd/>
              <w:snapToGrid/>
              <w:spacing w:after="0" w:line="400" w:lineRule="exact"/>
              <w:ind w:firstLine="482" w:firstLineChars="200"/>
              <w:textAlignment w:val="auto"/>
              <w:rPr>
                <w:rFonts w:hint="default" w:ascii="仿宋" w:hAnsi="仿宋" w:eastAsia="仿宋" w:cs="仿宋"/>
                <w:color w:val="auto"/>
                <w:szCs w:val="21"/>
                <w:lang w:val="en-US" w:eastAsia="zh-CN"/>
              </w:rPr>
            </w:pPr>
            <w:r>
              <w:rPr>
                <w:rFonts w:hint="eastAsia" w:ascii="仿宋" w:hAnsi="仿宋" w:eastAsia="仿宋" w:cs="仿宋"/>
                <w:b/>
                <w:color w:val="auto"/>
                <w:sz w:val="24"/>
                <w:szCs w:val="24"/>
                <w:lang w:val="en-US" w:eastAsia="zh-CN"/>
              </w:rPr>
              <w:t>6.实施就业兜底帮扶</w:t>
            </w:r>
            <w:r>
              <w:rPr>
                <w:rFonts w:hint="eastAsia" w:ascii="仿宋" w:hAnsi="仿宋" w:eastAsia="仿宋" w:cs="仿宋"/>
                <w:color w:val="auto"/>
                <w:sz w:val="24"/>
                <w:szCs w:val="24"/>
                <w:lang w:val="en-US" w:eastAsia="zh-CN"/>
              </w:rPr>
              <w:t>。按照“按需设岗、以岗定人、动态管理、总量控制”的原则，科学确定公益性岗位数量和类别，充分发挥公益性岗位兜底帮扶作用，确保易迁点有劳动能力且有就业意愿的脱贫人口家庭劳动力至少一人实现就业。</w:t>
            </w:r>
          </w:p>
        </w:tc>
      </w:tr>
    </w:tbl>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持续开展困难群体就业援助。完善就业困难人员认定办法，建立动态调整机制，对零就业家庭人员、残疾人等困难群体，提供“一人一档”</w:t>
      </w:r>
      <w:r>
        <w:rPr>
          <w:rFonts w:hint="eastAsia" w:ascii="仿宋" w:hAnsi="仿宋" w:eastAsia="仿宋" w:cs="仿宋"/>
          <w:color w:val="auto"/>
          <w:sz w:val="32"/>
          <w:szCs w:val="32"/>
          <w:u w:color="000000"/>
          <w:lang w:eastAsia="zh-CN"/>
        </w:rPr>
        <w:t>、</w:t>
      </w:r>
      <w:r>
        <w:rPr>
          <w:rFonts w:hint="eastAsia" w:ascii="仿宋" w:hAnsi="仿宋" w:eastAsia="仿宋" w:cs="仿宋"/>
          <w:color w:val="auto"/>
          <w:sz w:val="32"/>
          <w:szCs w:val="32"/>
          <w:u w:color="000000"/>
        </w:rPr>
        <w:t>“一人一策”精细化服务，加强就业帮扶效果的跟踪与评估，确保零就业家庭动态清零。落实残疾人按比例就业制度，健全残疾人就业资金投入机制。开展就业援助月等各类帮扶活动。及时将符合条件的就业困难人员纳入最低生活保障、临时救助范围，落实乡镇（街道）临时救助备用金制度。</w:t>
      </w:r>
    </w:p>
    <w:p>
      <w:pPr>
        <w:pStyle w:val="16"/>
        <w:pageBreakBefore w:val="0"/>
        <w:kinsoku/>
        <w:wordWrap/>
        <w:overflowPunct w:val="0"/>
        <w:topLinePunct w:val="0"/>
        <w:autoSpaceDE/>
        <w:autoSpaceDN/>
        <w:bidi w:val="0"/>
        <w:adjustRightInd w:val="0"/>
        <w:snapToGrid w:val="0"/>
        <w:spacing w:line="600" w:lineRule="exact"/>
        <w:ind w:firstLine="640" w:firstLineChars="200"/>
        <w:textAlignment w:val="auto"/>
        <w:rPr>
          <w:rFonts w:hint="eastAsia" w:ascii="仿宋" w:hAnsi="仿宋" w:eastAsia="仿宋" w:cs="仿宋"/>
          <w:b w:val="0"/>
          <w:bCs/>
          <w:color w:val="auto"/>
          <w:sz w:val="32"/>
          <w:szCs w:val="32"/>
        </w:rPr>
      </w:pPr>
      <w:r>
        <w:rPr>
          <w:rFonts w:hint="eastAsia" w:ascii="仿宋" w:hAnsi="仿宋" w:eastAsia="仿宋" w:cs="仿宋"/>
          <w:color w:val="auto"/>
          <w:sz w:val="32"/>
          <w:szCs w:val="32"/>
        </w:rPr>
        <w:t>促进其他群体就业。实施积极应对人口老龄化国家战略，发展银发经济，强化大龄劳动者就业帮扶，制定完善保障措施，及时提供就业创业服务、技能培训等支持，促进人力资源充分利用。保障妇女在就业创业、职业发展、技能培训、劳动报酬、职业健康与安全等方面的权益。持续做好长江禁捕退捕渔民就业帮扶，通过发展产业、务工就业、支持创业、公益岗位等多种方式促进渔民转产转业，对有培训需求的退捕渔民“应培尽培”，切实维护退捕渔民的社会保障权益，努力确保退捕渔民上岸就业有出路，生活有保障。</w:t>
      </w:r>
      <w:bookmarkStart w:id="234" w:name="_Toc44157885"/>
      <w:bookmarkStart w:id="235" w:name="_Toc1737818195"/>
      <w:bookmarkStart w:id="236" w:name="_Toc189365776"/>
      <w:bookmarkStart w:id="237" w:name="_Toc1493336849"/>
      <w:bookmarkStart w:id="238" w:name="_Toc1267434342"/>
      <w:bookmarkStart w:id="239" w:name="_Toc188486610"/>
      <w:bookmarkStart w:id="240" w:name="_Toc113721498"/>
      <w:bookmarkStart w:id="241" w:name="_Toc1298828609"/>
      <w:bookmarkStart w:id="242" w:name="_Toc933601012"/>
      <w:bookmarkStart w:id="243" w:name="_Toc1110680267"/>
      <w:bookmarkStart w:id="244" w:name="_Toc829588335"/>
      <w:bookmarkStart w:id="245" w:name="_Toc1872294019"/>
      <w:bookmarkStart w:id="246" w:name="_Toc1699284627"/>
      <w:bookmarkStart w:id="247" w:name="_Toc1776717748"/>
      <w:bookmarkStart w:id="248" w:name="_Toc1146533989"/>
      <w:bookmarkStart w:id="249" w:name="_Toc900841546"/>
      <w:bookmarkStart w:id="250" w:name="_Toc333840528"/>
    </w:p>
    <w:p>
      <w:pPr>
        <w:pStyle w:val="4"/>
        <w:keepLines w:val="0"/>
        <w:pageBreakBefore w:val="0"/>
        <w:kinsoku/>
        <w:wordWrap/>
        <w:overflowPunct w:val="0"/>
        <w:topLinePunct w:val="0"/>
        <w:autoSpaceDE/>
        <w:autoSpaceDN/>
        <w:bidi w:val="0"/>
        <w:adjustRightInd w:val="0"/>
        <w:snapToGrid w:val="0"/>
        <w:spacing w:before="0" w:after="0"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六、提升劳动者技能素质 缓解结构性就业矛盾</w:t>
      </w:r>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lang w:val="en-US" w:eastAsia="zh-CN"/>
        </w:rPr>
        <w:t>大力实施“技能云南行动”，</w:t>
      </w:r>
      <w:r>
        <w:rPr>
          <w:rFonts w:hint="eastAsia" w:ascii="仿宋" w:hAnsi="仿宋" w:eastAsia="仿宋" w:cs="仿宋"/>
          <w:color w:val="auto"/>
          <w:sz w:val="32"/>
          <w:szCs w:val="32"/>
          <w:u w:color="000000"/>
        </w:rPr>
        <w:t>把技能人才培养培训放在更加突出的位置，着力改善劳动力要素质量，建设一支符合高质量发展要求、适应现代化经济体系、具备较高职业技能和道德素质、结构比较合理的劳动者队伍。</w:t>
      </w:r>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楷体" w:hAnsi="楷体" w:eastAsia="楷体" w:cs="楷体"/>
          <w:bCs/>
          <w:color w:val="auto"/>
          <w:kern w:val="44"/>
          <w:sz w:val="32"/>
          <w:szCs w:val="32"/>
          <w:u w:color="000000"/>
        </w:rPr>
        <w:t>（二十五）大规模多层次开展职业技能培训</w:t>
      </w:r>
      <w:r>
        <w:rPr>
          <w:rFonts w:hint="eastAsia" w:ascii="仿宋" w:hAnsi="仿宋" w:eastAsia="仿宋" w:cs="仿宋"/>
          <w:bCs/>
          <w:color w:val="auto"/>
          <w:kern w:val="44"/>
          <w:sz w:val="32"/>
          <w:szCs w:val="32"/>
          <w:u w:color="000000"/>
        </w:rPr>
        <w:t>。</w:t>
      </w:r>
      <w:r>
        <w:rPr>
          <w:rFonts w:hint="eastAsia" w:ascii="仿宋" w:hAnsi="仿宋" w:eastAsia="仿宋" w:cs="仿宋"/>
          <w:color w:val="auto"/>
          <w:sz w:val="32"/>
          <w:szCs w:val="32"/>
          <w:u w:color="000000"/>
        </w:rPr>
        <w:t>完善职业技能培训政策体系</w:t>
      </w:r>
      <w:r>
        <w:rPr>
          <w:rFonts w:hint="eastAsia" w:ascii="仿宋" w:hAnsi="仿宋" w:eastAsia="仿宋" w:cs="仿宋"/>
          <w:color w:val="auto"/>
          <w:sz w:val="32"/>
          <w:szCs w:val="32"/>
          <w:u w:color="000000"/>
          <w:lang w:eastAsia="zh-CN"/>
        </w:rPr>
        <w:t>，</w:t>
      </w:r>
      <w:r>
        <w:rPr>
          <w:rFonts w:hint="eastAsia" w:ascii="仿宋" w:hAnsi="仿宋" w:eastAsia="仿宋" w:cs="仿宋"/>
          <w:color w:val="auto"/>
          <w:sz w:val="32"/>
          <w:szCs w:val="32"/>
          <w:u w:color="000000"/>
        </w:rPr>
        <w:t>整合各类培训资源。健全终身职业技能培训制度，持续实施职业技能提升行动。稳步扩大培训规模，重点加强高校毕业生和其他城镇青年、退役军人、农村转移就业劳动者、脱贫人口、失业人员、个体工商户、就业困难人员（含残疾人）等技能培训，支持</w:t>
      </w:r>
      <w:r>
        <w:rPr>
          <w:rFonts w:hint="eastAsia" w:ascii="仿宋" w:hAnsi="仿宋" w:eastAsia="仿宋" w:cs="仿宋"/>
          <w:color w:val="auto"/>
          <w:sz w:val="32"/>
          <w:szCs w:val="32"/>
          <w:u w:color="000000"/>
          <w:lang w:eastAsia="zh-CN"/>
        </w:rPr>
        <w:t>用工单位</w:t>
      </w:r>
      <w:r>
        <w:rPr>
          <w:rFonts w:hint="eastAsia" w:ascii="仿宋" w:hAnsi="仿宋" w:eastAsia="仿宋" w:cs="仿宋"/>
          <w:color w:val="auto"/>
          <w:sz w:val="32"/>
          <w:szCs w:val="32"/>
          <w:u w:color="000000"/>
        </w:rPr>
        <w:t>开展职工岗位培训，突出高技能人才培训、急需紧缺人才培训、转岗转业培训、储备技能培训、通用职业素质培训，积极发展养老、托育、家政等生活服务业从业人员技能培训，广泛开展新业态新模式从业人员技能培训，制定数字技能提升专项培训计划，确保“十四五”期间补贴性职业技能培训在</w:t>
      </w:r>
      <w:r>
        <w:rPr>
          <w:rFonts w:hint="eastAsia" w:ascii="仿宋" w:hAnsi="仿宋" w:eastAsia="仿宋" w:cs="仿宋"/>
          <w:color w:val="auto"/>
          <w:sz w:val="32"/>
          <w:szCs w:val="32"/>
          <w:u w:val="none"/>
          <w:lang w:val="en-US" w:eastAsia="zh-CN"/>
        </w:rPr>
        <w:t>500</w:t>
      </w:r>
      <w:r>
        <w:rPr>
          <w:rFonts w:hint="eastAsia" w:ascii="仿宋" w:hAnsi="仿宋" w:eastAsia="仿宋" w:cs="仿宋"/>
          <w:color w:val="auto"/>
          <w:sz w:val="32"/>
          <w:szCs w:val="32"/>
          <w:u w:color="000000"/>
        </w:rPr>
        <w:t>万人次以上。完善职业技能竞赛体系，推动职业技能竞赛科学化、规范化、专业化发展。</w:t>
      </w:r>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实现培训供给多元化。构建以公共实训基地、职业院校（含技工院校）、职业技能培训机构和行业企业为主的多元培训载体。推动培训市场全面开放，采取优化审批服务、探索实行告知承诺等方式，激发培训主体积极性，有效增加培训供给。充分发挥企业职业技能培训的主体作用和职业院校（含技工院校）培训资源优势。政府补贴的职业技能培训项目全部向具备资质的职业院校（含技工院校）开放。新建一批公共实训基地，并优化功能布局、提高开放性，完善企业利用公共实训基地开展实训有关制度。实施职业技能培训共建共享行动，健全职业技能培训共建共享机制，开展县域职业技能培训共建共享试点。</w:t>
      </w:r>
    </w:p>
    <w:tbl>
      <w:tblPr>
        <w:tblStyle w:val="12"/>
        <w:tblW w:w="9072" w:type="dxa"/>
        <w:jc w:val="center"/>
        <w:tblInd w:w="0" w:type="dxa"/>
        <w:tblLayout w:type="fixed"/>
        <w:tblCellMar>
          <w:top w:w="0" w:type="dxa"/>
          <w:left w:w="0" w:type="dxa"/>
          <w:bottom w:w="0" w:type="dxa"/>
          <w:right w:w="0" w:type="dxa"/>
        </w:tblCellMar>
      </w:tblPr>
      <w:tblGrid>
        <w:gridCol w:w="9072"/>
      </w:tblGrid>
      <w:tr>
        <w:tblPrEx>
          <w:tblLayout w:type="fixed"/>
          <w:tblCellMar>
            <w:top w:w="0" w:type="dxa"/>
            <w:left w:w="0" w:type="dxa"/>
            <w:bottom w:w="0" w:type="dxa"/>
            <w:right w:w="0" w:type="dxa"/>
          </w:tblCellMar>
        </w:tblPrEx>
        <w:trPr>
          <w:trHeight w:val="558" w:hRule="atLeast"/>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color w:val="auto"/>
                <w:kern w:val="0"/>
                <w:sz w:val="28"/>
                <w:szCs w:val="28"/>
              </w:rPr>
            </w:pPr>
            <w:r>
              <w:rPr>
                <w:rFonts w:hint="eastAsia" w:ascii="仿宋" w:hAnsi="仿宋" w:eastAsia="仿宋" w:cs="仿宋"/>
                <w:b/>
                <w:color w:val="auto"/>
                <w:kern w:val="0"/>
                <w:sz w:val="28"/>
                <w:szCs w:val="28"/>
              </w:rPr>
              <w:t>专栏</w:t>
            </w:r>
            <w:r>
              <w:rPr>
                <w:rFonts w:hint="eastAsia" w:ascii="仿宋" w:hAnsi="仿宋" w:eastAsia="仿宋" w:cs="仿宋"/>
                <w:b/>
                <w:color w:val="auto"/>
                <w:kern w:val="0"/>
                <w:sz w:val="28"/>
                <w:szCs w:val="28"/>
                <w:lang w:val="en-US" w:eastAsia="zh-CN"/>
              </w:rPr>
              <w:t>13</w:t>
            </w:r>
            <w:r>
              <w:rPr>
                <w:rFonts w:hint="eastAsia" w:ascii="仿宋" w:hAnsi="仿宋" w:eastAsia="仿宋" w:cs="仿宋"/>
                <w:b/>
                <w:color w:val="auto"/>
                <w:kern w:val="0"/>
                <w:sz w:val="28"/>
                <w:szCs w:val="28"/>
              </w:rPr>
              <w:t>：</w:t>
            </w:r>
            <w:r>
              <w:rPr>
                <w:rFonts w:hint="eastAsia" w:ascii="仿宋" w:hAnsi="仿宋" w:eastAsia="仿宋" w:cs="仿宋"/>
                <w:b/>
                <w:color w:val="auto"/>
                <w:kern w:val="0"/>
                <w:sz w:val="28"/>
                <w:szCs w:val="28"/>
                <w:lang w:eastAsia="zh-CN"/>
              </w:rPr>
              <w:t>以促进</w:t>
            </w:r>
            <w:r>
              <w:rPr>
                <w:rFonts w:hint="eastAsia" w:ascii="仿宋" w:hAnsi="仿宋" w:eastAsia="仿宋" w:cs="仿宋"/>
                <w:b/>
                <w:color w:val="auto"/>
                <w:kern w:val="0"/>
                <w:sz w:val="28"/>
                <w:szCs w:val="28"/>
              </w:rPr>
              <w:t>乡村振兴</w:t>
            </w:r>
            <w:r>
              <w:rPr>
                <w:rFonts w:hint="eastAsia" w:ascii="仿宋" w:hAnsi="仿宋" w:eastAsia="仿宋" w:cs="仿宋"/>
                <w:b/>
                <w:color w:val="auto"/>
                <w:kern w:val="0"/>
                <w:sz w:val="28"/>
                <w:szCs w:val="28"/>
                <w:lang w:eastAsia="zh-CN"/>
              </w:rPr>
              <w:t>为重点开展大规模</w:t>
            </w:r>
            <w:r>
              <w:rPr>
                <w:rFonts w:hint="eastAsia" w:ascii="仿宋" w:hAnsi="仿宋" w:eastAsia="仿宋" w:cs="仿宋"/>
                <w:b/>
                <w:color w:val="auto"/>
                <w:kern w:val="0"/>
                <w:sz w:val="28"/>
                <w:szCs w:val="28"/>
              </w:rPr>
              <w:t>职业技能提升工程</w:t>
            </w:r>
          </w:p>
        </w:tc>
      </w:tr>
      <w:tr>
        <w:tblPrEx>
          <w:tblLayout w:type="fixed"/>
          <w:tblCellMar>
            <w:top w:w="0" w:type="dxa"/>
            <w:left w:w="0" w:type="dxa"/>
            <w:bottom w:w="0" w:type="dxa"/>
            <w:right w:w="0" w:type="dxa"/>
          </w:tblCellMar>
        </w:tblPrEx>
        <w:trPr>
          <w:jc w:val="center"/>
        </w:trPr>
        <w:tc>
          <w:tcPr>
            <w:tcW w:w="9072"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val="0"/>
                <w:bCs/>
                <w:color w:val="auto"/>
                <w:sz w:val="24"/>
                <w:szCs w:val="24"/>
              </w:rPr>
            </w:pPr>
            <w:r>
              <w:rPr>
                <w:rFonts w:hint="eastAsia" w:ascii="仿宋" w:hAnsi="仿宋" w:eastAsia="仿宋" w:cs="仿宋"/>
                <w:b/>
                <w:color w:val="auto"/>
                <w:sz w:val="24"/>
                <w:szCs w:val="24"/>
                <w:lang w:val="en-US" w:eastAsia="zh-CN"/>
              </w:rPr>
              <w:t>1.实施“云南技能提升培训计划”。</w:t>
            </w:r>
            <w:r>
              <w:rPr>
                <w:rFonts w:hint="eastAsia" w:ascii="仿宋" w:hAnsi="仿宋" w:eastAsia="仿宋" w:cs="仿宋"/>
                <w:b w:val="0"/>
                <w:bCs/>
                <w:color w:val="auto"/>
                <w:sz w:val="24"/>
                <w:szCs w:val="24"/>
              </w:rPr>
              <w:t>把易地搬迁人员、企业职工、农民工、高校毕业生、退役军人、脱贫劳动力、残疾人等作为重点群体，开展大规模的职业技能提升培训。继续做好长江退捕渔民职业技能培训。到2025年，职业培训累计231万人次以上。</w:t>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val="0"/>
                <w:bCs/>
                <w:color w:val="auto"/>
                <w:sz w:val="24"/>
                <w:szCs w:val="24"/>
              </w:rPr>
            </w:pPr>
            <w:r>
              <w:rPr>
                <w:rFonts w:hint="eastAsia" w:ascii="仿宋" w:hAnsi="仿宋" w:eastAsia="仿宋" w:cs="仿宋"/>
                <w:b/>
                <w:color w:val="auto"/>
                <w:sz w:val="24"/>
                <w:szCs w:val="24"/>
                <w:lang w:val="en-US" w:eastAsia="zh-CN"/>
              </w:rPr>
              <w:t>2.实施“乡村振兴技能人才计划”。</w:t>
            </w:r>
            <w:r>
              <w:rPr>
                <w:rFonts w:hint="eastAsia" w:ascii="仿宋" w:hAnsi="仿宋" w:eastAsia="仿宋" w:cs="仿宋"/>
                <w:b w:val="0"/>
                <w:bCs/>
                <w:color w:val="auto"/>
                <w:sz w:val="24"/>
                <w:szCs w:val="24"/>
              </w:rPr>
              <w:t>分类指导各县（市、区）对有培训意愿的农村劳动者开展刺绣、雕刻、陶瓷、工艺染制品等实用技术、职业技能培训</w:t>
            </w: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rPr>
              <w:t>对新型农民、农村创业带头人开展职业技能、创业理念、创业能力、电子商务、市场经纪等培训。对有培训意愿的农村低收入家庭劳动力实现职业培训全覆盖，确保农村低收入家庭每户至少一名劳动者学习掌握一门就业技能。到2025年，累计培训100万人次以上。</w:t>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val="0"/>
                <w:bCs/>
                <w:color w:val="auto"/>
                <w:sz w:val="24"/>
                <w:szCs w:val="24"/>
              </w:rPr>
            </w:pPr>
            <w:r>
              <w:rPr>
                <w:rFonts w:hint="eastAsia" w:ascii="仿宋" w:hAnsi="仿宋" w:eastAsia="仿宋" w:cs="仿宋"/>
                <w:b/>
                <w:color w:val="auto"/>
                <w:sz w:val="24"/>
                <w:szCs w:val="24"/>
                <w:lang w:val="en-US" w:eastAsia="zh-CN"/>
              </w:rPr>
              <w:t>3.实施“康养云师傅计划”</w:t>
            </w:r>
            <w:r>
              <w:rPr>
                <w:rFonts w:hint="eastAsia" w:ascii="仿宋" w:hAnsi="仿宋" w:eastAsia="仿宋" w:cs="仿宋"/>
                <w:b w:val="0"/>
                <w:bCs/>
                <w:color w:val="auto"/>
                <w:sz w:val="24"/>
                <w:szCs w:val="24"/>
              </w:rPr>
              <w:t>。全面推行康养服务人员岗前培训、岗位技能提升培训、转岗转业培训和创业培训。依托相关企业、技工院校、各类职业培训机构，开展养老护理员、社会体育指导员、健康照护师、家政服务员、育婴员、保育员等职业（工种）培训，强化康养服务人员的实际操作训练和综合职业素质培养。到2025年，培训各类康养服务人员35万人次以上。</w:t>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val="0"/>
                <w:bCs/>
                <w:color w:val="auto"/>
                <w:sz w:val="24"/>
                <w:szCs w:val="24"/>
              </w:rPr>
            </w:pPr>
            <w:r>
              <w:rPr>
                <w:rFonts w:hint="eastAsia" w:ascii="仿宋" w:hAnsi="仿宋" w:eastAsia="仿宋" w:cs="仿宋"/>
                <w:b/>
                <w:color w:val="auto"/>
                <w:sz w:val="24"/>
                <w:szCs w:val="24"/>
                <w:lang w:val="en-US" w:eastAsia="zh-CN"/>
              </w:rPr>
              <w:t>4.实施“生态卫士计划”</w:t>
            </w:r>
            <w:r>
              <w:rPr>
                <w:rFonts w:hint="eastAsia" w:ascii="仿宋" w:hAnsi="仿宋" w:eastAsia="仿宋" w:cs="仿宋"/>
                <w:b w:val="0"/>
                <w:bCs/>
                <w:color w:val="auto"/>
                <w:sz w:val="24"/>
                <w:szCs w:val="24"/>
              </w:rPr>
              <w:t>。深入践行“绿水青山就是金山银山”发展理念，全面提升我省生态护林员职业技能水平，依托技工院校、职业培训机构面向全省生态护林员分期分批开展森林消防、森林管护、林业产业等技能提升培训。优先安排“三区三州”、生态保护重点区、林长制试点县等地区开展培训。到2025年，培训20万人次以上。</w:t>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val="0"/>
                <w:bCs/>
                <w:color w:val="auto"/>
                <w:sz w:val="24"/>
                <w:szCs w:val="24"/>
              </w:rPr>
            </w:pPr>
            <w:r>
              <w:rPr>
                <w:rFonts w:hint="eastAsia" w:ascii="仿宋" w:hAnsi="仿宋" w:eastAsia="仿宋" w:cs="仿宋"/>
                <w:b/>
                <w:color w:val="auto"/>
                <w:sz w:val="24"/>
                <w:szCs w:val="24"/>
                <w:lang w:val="en-US" w:eastAsia="zh-CN"/>
              </w:rPr>
              <w:t>5.实施“云品工匠计划”</w:t>
            </w:r>
            <w:r>
              <w:rPr>
                <w:rFonts w:hint="eastAsia" w:ascii="仿宋" w:hAnsi="仿宋" w:eastAsia="仿宋" w:cs="仿宋"/>
                <w:b w:val="0"/>
                <w:bCs/>
                <w:color w:val="auto"/>
                <w:sz w:val="24"/>
                <w:szCs w:val="24"/>
              </w:rPr>
              <w:t>。深入开展绿色食品的种植、生产、加工、存储、运输、销售等环节的从业人员职业技能培训，突出做好“绿色食品”的深加工提升性培训，加快培养一批有文化、懂技术、会经营的“绿色食品”生产经营型、专业技能型和社会服务型人才。到2025年，培训30万人次以上。</w:t>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val="0"/>
                <w:bCs/>
                <w:color w:val="auto"/>
                <w:sz w:val="24"/>
                <w:szCs w:val="24"/>
              </w:rPr>
            </w:pPr>
            <w:r>
              <w:rPr>
                <w:rFonts w:hint="eastAsia" w:ascii="仿宋" w:hAnsi="仿宋" w:eastAsia="仿宋" w:cs="仿宋"/>
                <w:b/>
                <w:color w:val="auto"/>
                <w:sz w:val="24"/>
                <w:szCs w:val="24"/>
                <w:lang w:val="en-US" w:eastAsia="zh-CN"/>
              </w:rPr>
              <w:t>6.实施创业培训计划。</w:t>
            </w:r>
            <w:r>
              <w:rPr>
                <w:rFonts w:hint="eastAsia" w:ascii="仿宋" w:hAnsi="仿宋" w:eastAsia="仿宋" w:cs="仿宋"/>
                <w:b w:val="0"/>
                <w:bCs/>
                <w:color w:val="auto"/>
                <w:sz w:val="24"/>
                <w:szCs w:val="24"/>
              </w:rPr>
              <w:t>按照政府激励引导、社会广泛参与、劳动者自主选择的原则，</w:t>
            </w:r>
            <w:r>
              <w:rPr>
                <w:rFonts w:hint="eastAsia" w:ascii="仿宋" w:hAnsi="仿宋" w:eastAsia="仿宋" w:cs="仿宋"/>
                <w:b w:val="0"/>
                <w:bCs/>
                <w:color w:val="auto"/>
                <w:sz w:val="24"/>
                <w:szCs w:val="24"/>
                <w:lang w:val="en-US" w:eastAsia="zh-CN"/>
              </w:rPr>
              <w:t>面向有创业意愿和培训需求的城乡各类劳动者实施创业培训“马兰花计划”。</w:t>
            </w:r>
            <w:r>
              <w:rPr>
                <w:rFonts w:hint="eastAsia" w:ascii="仿宋" w:hAnsi="仿宋" w:eastAsia="仿宋" w:cs="仿宋"/>
                <w:b w:val="0"/>
                <w:bCs/>
                <w:color w:val="auto"/>
                <w:sz w:val="24"/>
                <w:szCs w:val="24"/>
              </w:rPr>
              <w:t>培育一批覆盖各类培训课程的创业培训师资队伍和具备创业培训资质的职业培训机构</w:t>
            </w: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rPr>
              <w:t>到2025年，创业培训达25万人以上。</w:t>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val="0"/>
                <w:bCs/>
                <w:color w:val="auto"/>
                <w:sz w:val="24"/>
                <w:szCs w:val="24"/>
              </w:rPr>
            </w:pPr>
            <w:r>
              <w:rPr>
                <w:rFonts w:hint="eastAsia" w:ascii="仿宋" w:hAnsi="仿宋" w:eastAsia="仿宋" w:cs="仿宋"/>
                <w:b/>
                <w:color w:val="auto"/>
                <w:sz w:val="24"/>
                <w:szCs w:val="24"/>
                <w:lang w:val="en-US" w:eastAsia="zh-CN"/>
              </w:rPr>
              <w:t>7.实施“企业新型学徒制计划”</w:t>
            </w:r>
            <w:r>
              <w:rPr>
                <w:rFonts w:hint="eastAsia" w:ascii="仿宋" w:hAnsi="仿宋" w:eastAsia="仿宋" w:cs="仿宋"/>
                <w:b w:val="0"/>
                <w:bCs/>
                <w:color w:val="auto"/>
                <w:sz w:val="24"/>
                <w:szCs w:val="24"/>
              </w:rPr>
              <w:t>。围绕构建现代化产业体系需要，以产教融合型学徒制培训为重点，面向5个万亿级和8个千亿级产业全面推行“招工即招生、入企即入校、企校双师联合培养”为主要内容的中国特色企业新型学徒制。到2025年，累计培养10万名企业新型学徒制职工。</w:t>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val="0"/>
                <w:bCs/>
                <w:color w:val="auto"/>
                <w:sz w:val="24"/>
                <w:szCs w:val="24"/>
              </w:rPr>
            </w:pPr>
            <w:r>
              <w:rPr>
                <w:rFonts w:hint="eastAsia" w:ascii="仿宋" w:hAnsi="仿宋" w:eastAsia="仿宋" w:cs="仿宋"/>
                <w:b/>
                <w:color w:val="auto"/>
                <w:sz w:val="24"/>
                <w:szCs w:val="24"/>
                <w:lang w:val="en-US" w:eastAsia="zh-CN"/>
              </w:rPr>
              <w:t>8.实施“高技能人才队伍壮大计划”</w:t>
            </w:r>
            <w:r>
              <w:rPr>
                <w:rFonts w:hint="eastAsia" w:ascii="仿宋" w:hAnsi="仿宋" w:eastAsia="仿宋" w:cs="仿宋"/>
                <w:b w:val="0"/>
                <w:bCs/>
                <w:color w:val="auto"/>
                <w:sz w:val="24"/>
                <w:szCs w:val="24"/>
              </w:rPr>
              <w:t>。加强重点产业、新兴产业、支柱产业急需紧缺高技能人才培养。坚持高端引领、以用为本、创新驱动、整体推动，发挥企业培训主体作用，增强人才链与产业链契合度，全链条重塑高技能人才队伍培养。鼓励企业组织员工开展区块链方面的职业技能培训。到2025年，新增高技能人才39万人以上，高技能人才总量达155万人以上。</w:t>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val="0"/>
                <w:bCs/>
                <w:color w:val="auto"/>
                <w:sz w:val="24"/>
                <w:szCs w:val="24"/>
              </w:rPr>
            </w:pPr>
            <w:r>
              <w:rPr>
                <w:rFonts w:hint="eastAsia" w:ascii="仿宋" w:hAnsi="仿宋" w:eastAsia="仿宋" w:cs="仿宋"/>
                <w:b/>
                <w:color w:val="auto"/>
                <w:sz w:val="24"/>
                <w:szCs w:val="24"/>
                <w:lang w:val="en-US" w:eastAsia="zh-CN"/>
              </w:rPr>
              <w:t>9.实施“高技能领军人才计划”。</w:t>
            </w:r>
            <w:r>
              <w:rPr>
                <w:rFonts w:hint="eastAsia" w:ascii="仿宋" w:hAnsi="仿宋" w:eastAsia="仿宋" w:cs="仿宋"/>
                <w:b w:val="0"/>
                <w:bCs/>
                <w:color w:val="auto"/>
                <w:sz w:val="24"/>
                <w:szCs w:val="24"/>
              </w:rPr>
              <w:t>深入实施首席技师专项，选拔一批社会公认、技艺精湛、业绩突出的技师、高级技师和掌握传统技能、民间绝技的技能大师，发挥他们在带徒传技、技能攻关、技艺传承、技能推广等方面的重要作用。到2025年，新培养选拔350名首席技师。</w:t>
            </w:r>
          </w:p>
          <w:p>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color w:val="auto"/>
                <w:kern w:val="0"/>
                <w:sz w:val="32"/>
                <w:szCs w:val="32"/>
              </w:rPr>
            </w:pPr>
            <w:r>
              <w:rPr>
                <w:rFonts w:hint="eastAsia" w:ascii="仿宋" w:hAnsi="仿宋" w:eastAsia="仿宋" w:cs="仿宋"/>
                <w:b/>
                <w:color w:val="auto"/>
                <w:sz w:val="24"/>
                <w:szCs w:val="24"/>
                <w:lang w:val="en-US" w:eastAsia="zh-CN"/>
              </w:rPr>
              <w:t>10.实施“高技能人才培训基地建设计划”。</w:t>
            </w:r>
            <w:r>
              <w:rPr>
                <w:rFonts w:hint="eastAsia" w:ascii="仿宋" w:hAnsi="仿宋" w:eastAsia="仿宋" w:cs="仿宋"/>
                <w:b w:val="0"/>
                <w:bCs/>
                <w:color w:val="auto"/>
                <w:sz w:val="24"/>
                <w:szCs w:val="24"/>
                <w:lang w:val="en-US" w:eastAsia="zh-CN"/>
              </w:rPr>
              <w:t>根据地区产业发展需要，分层分级建立一批高技能人才培训基地。引导支持国家和省乡村振兴重点帮扶县，结合当地特色产业发展状况，举办具有地方特色的职业技能竞赛。</w:t>
            </w:r>
          </w:p>
        </w:tc>
      </w:tr>
    </w:tbl>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切实提升职业技能培训质量。通过整合各类培训资源，引导培训资源向市场急需、企业生产必需等领域集中，提高资金使用效益，提升职业技能培训的针对性和有效性。动态调整政府补贴性培训项目目录。采取政府按规定补贴培训、企业自主培训、市场化培训等多样化的培训方式，广泛开展订单式、套餐制培训，探索“互联网+职业技能培训”。统筹各级各类职业技能培训资金、加强集约化管理和使用，健全分层分类的培训补贴标准体系，畅通培训补贴直达企业和培训者渠道。健全职业技能培训监督评价考核机制</w:t>
      </w:r>
      <w:r>
        <w:rPr>
          <w:rFonts w:hint="eastAsia" w:ascii="仿宋" w:hAnsi="仿宋" w:eastAsia="仿宋" w:cs="仿宋"/>
          <w:color w:val="auto"/>
          <w:sz w:val="32"/>
          <w:szCs w:val="32"/>
          <w:u w:color="000000"/>
          <w:lang w:eastAsia="zh-CN"/>
        </w:rPr>
        <w:t>，实现评价类工种匹配</w:t>
      </w:r>
      <w:r>
        <w:rPr>
          <w:rFonts w:hint="eastAsia" w:ascii="仿宋" w:hAnsi="仿宋" w:eastAsia="仿宋" w:cs="仿宋"/>
          <w:color w:val="auto"/>
          <w:sz w:val="32"/>
          <w:szCs w:val="32"/>
          <w:u w:color="000000"/>
        </w:rPr>
        <w:t>。</w:t>
      </w:r>
      <w:r>
        <w:rPr>
          <w:rFonts w:hint="eastAsia" w:ascii="仿宋" w:hAnsi="仿宋" w:eastAsia="仿宋" w:cs="仿宋"/>
          <w:color w:val="auto"/>
          <w:sz w:val="32"/>
          <w:szCs w:val="32"/>
          <w:u w:color="000000"/>
          <w:lang w:eastAsia="zh-CN"/>
        </w:rPr>
        <w:t>推行职业培训券制度，</w:t>
      </w:r>
      <w:r>
        <w:rPr>
          <w:rFonts w:hint="eastAsia" w:ascii="仿宋" w:hAnsi="仿宋" w:eastAsia="仿宋" w:cs="仿宋"/>
          <w:color w:val="auto"/>
          <w:sz w:val="32"/>
          <w:szCs w:val="32"/>
          <w:u w:color="000000"/>
        </w:rPr>
        <w:t>探索建立个人培训账户，形成劳动者职业技能培训电子档案，实现与就业、社会保障等信息联通共享。</w:t>
      </w:r>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提高劳动者职业素养。大力弘扬劳模精神、劳动精神、工匠精神，营造劳动光荣的社会风尚和精益求精的敬业风气。加强职业道德教育，引导劳动者树立正确的人生观价值观就业观，培养敬业精神和工作责任意识。推进新型产业工人队伍建设，提高产业工人综合素质。</w:t>
      </w:r>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楷体" w:hAnsi="楷体" w:eastAsia="楷体" w:cs="楷体"/>
          <w:bCs/>
          <w:color w:val="auto"/>
          <w:kern w:val="44"/>
          <w:sz w:val="32"/>
          <w:szCs w:val="32"/>
          <w:u w:color="000000"/>
        </w:rPr>
        <w:t>（二十六）构建系统完备的技能人才培养体系</w:t>
      </w:r>
      <w:r>
        <w:rPr>
          <w:rFonts w:hint="eastAsia" w:ascii="仿宋" w:hAnsi="仿宋" w:eastAsia="仿宋" w:cs="仿宋"/>
          <w:bCs/>
          <w:color w:val="auto"/>
          <w:kern w:val="44"/>
          <w:sz w:val="32"/>
          <w:szCs w:val="32"/>
          <w:u w:color="000000"/>
        </w:rPr>
        <w:t>。</w:t>
      </w:r>
      <w:r>
        <w:rPr>
          <w:rFonts w:hint="eastAsia" w:ascii="仿宋" w:hAnsi="仿宋" w:eastAsia="仿宋" w:cs="仿宋"/>
          <w:color w:val="auto"/>
          <w:sz w:val="32"/>
          <w:szCs w:val="32"/>
          <w:u w:color="000000"/>
        </w:rPr>
        <w:t>推动职业教育提质培优。实施职业教育提质培优行动，深入推进职业教育改革创新，优化职业教育结构和布局，建设一批高水平职业院校和专业。健全职普融通机制，稳步发展职业本科教育，实现职业教育与普通教育学习成果双向互通互认。支持和规范社会力量兴办高质量职业教育，增强职业教育适应性。大力发展技工教育，建设一批优质技工院校和专业。探索中国特色学徒制，深化产教融合、校企合作。前瞻性培养人才。强化人才培养就业导向，健全人才培养与产业发展联动预警机制。深化教育教学改革，</w:t>
      </w:r>
      <w:r>
        <w:rPr>
          <w:rFonts w:hint="eastAsia" w:ascii="仿宋" w:hAnsi="仿宋" w:eastAsia="仿宋" w:cs="仿宋"/>
          <w:color w:val="auto"/>
          <w:sz w:val="32"/>
          <w:szCs w:val="32"/>
          <w:u w:color="000000"/>
          <w:lang w:eastAsia="zh-CN"/>
        </w:rPr>
        <w:t>推进教育提质扩容和资源高效利用，</w:t>
      </w:r>
      <w:r>
        <w:rPr>
          <w:rFonts w:hint="eastAsia" w:ascii="仿宋" w:hAnsi="仿宋" w:eastAsia="仿宋" w:cs="仿宋"/>
          <w:color w:val="auto"/>
          <w:sz w:val="32"/>
          <w:szCs w:val="32"/>
          <w:u w:color="000000"/>
        </w:rPr>
        <w:t>着力培养创新型、应用型、技能型人才。优化高校学科专业布局，及时减少、撤销不适应市场需求的专业。加快重点领域急需紧缺人才培养，实施专业技术人才知识更新工程。加强重点专业学科建设，研究提出国家重点支持学科专业清单，大力发展新兴专业。加大数字人才培育力度，适应人工智能等技术发展需要，建立多层次、多类型的数字人才培养机制。</w:t>
      </w:r>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完善终身学习体系。建设学习型社会，构建服务全民终身学习教育体系。推动高水平大学开放教育资源，完善注册学习和弹性学习制度。健全终身教育学习成果转换与认证制度，推进学分银行试点，探索学分积累转换制度。促进继续教育高质量发展，建立统一的高等学历继续教育制度，畅通在职人员继续教育与终身学习通道。规范发展非学历继续教育。积极发展在线教育，完善线上、线下课程学分认定和转换机制。创新发展城乡社区教育。深化技能人才管理制度改革。完善技能人才培养、使用、评价、激励机制。</w:t>
      </w:r>
      <w:r>
        <w:rPr>
          <w:rFonts w:hint="eastAsia" w:ascii="仿宋" w:hAnsi="仿宋" w:eastAsia="仿宋" w:cs="仿宋"/>
          <w:color w:val="auto"/>
          <w:sz w:val="32"/>
          <w:szCs w:val="32"/>
          <w:u w:color="000000"/>
          <w:lang w:eastAsia="zh-CN"/>
        </w:rPr>
        <w:t>按国家部署</w:t>
      </w:r>
      <w:r>
        <w:rPr>
          <w:rFonts w:hint="eastAsia" w:ascii="仿宋" w:hAnsi="仿宋" w:eastAsia="仿宋" w:cs="仿宋"/>
          <w:color w:val="auto"/>
          <w:sz w:val="32"/>
          <w:szCs w:val="32"/>
          <w:u w:color="000000"/>
        </w:rPr>
        <w:t>推进职业资格制度改革。完善职业技能等级制度，建立职业技能等级认定与相关系列职称评审贯通机制。推行社会化职业技能等级认定，鼓励企业在国家职业技能等级框架范围内增加技能岗位等级层次。加快畅通专业技术人才及技能人才的职业发展通道。</w:t>
      </w:r>
    </w:p>
    <w:tbl>
      <w:tblPr>
        <w:tblStyle w:val="12"/>
        <w:tblW w:w="9072" w:type="dxa"/>
        <w:jc w:val="center"/>
        <w:tblInd w:w="0" w:type="dxa"/>
        <w:tblLayout w:type="fixed"/>
        <w:tblCellMar>
          <w:top w:w="0" w:type="dxa"/>
          <w:left w:w="0" w:type="dxa"/>
          <w:bottom w:w="0" w:type="dxa"/>
          <w:right w:w="0" w:type="dxa"/>
        </w:tblCellMar>
      </w:tblPr>
      <w:tblGrid>
        <w:gridCol w:w="9072"/>
      </w:tblGrid>
      <w:tr>
        <w:tblPrEx>
          <w:tblLayout w:type="fixed"/>
          <w:tblCellMar>
            <w:top w:w="0" w:type="dxa"/>
            <w:left w:w="0" w:type="dxa"/>
            <w:bottom w:w="0" w:type="dxa"/>
            <w:right w:w="0" w:type="dxa"/>
          </w:tblCellMar>
        </w:tblPrEx>
        <w:trPr>
          <w:trHeight w:val="558" w:hRule="atLeast"/>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color w:val="auto"/>
                <w:kern w:val="0"/>
                <w:sz w:val="28"/>
                <w:szCs w:val="28"/>
              </w:rPr>
            </w:pPr>
            <w:r>
              <w:rPr>
                <w:rFonts w:hint="eastAsia" w:ascii="仿宋" w:hAnsi="仿宋" w:eastAsia="仿宋" w:cs="仿宋"/>
                <w:b/>
                <w:color w:val="auto"/>
                <w:kern w:val="0"/>
                <w:sz w:val="28"/>
                <w:szCs w:val="28"/>
              </w:rPr>
              <w:t>专栏</w:t>
            </w:r>
            <w:r>
              <w:rPr>
                <w:rFonts w:hint="eastAsia" w:ascii="仿宋" w:hAnsi="仿宋" w:eastAsia="仿宋" w:cs="仿宋"/>
                <w:b/>
                <w:color w:val="auto"/>
                <w:kern w:val="0"/>
                <w:sz w:val="28"/>
                <w:szCs w:val="28"/>
                <w:lang w:val="en-US" w:eastAsia="zh-CN"/>
              </w:rPr>
              <w:t>14</w:t>
            </w:r>
            <w:r>
              <w:rPr>
                <w:rFonts w:hint="eastAsia" w:ascii="仿宋" w:hAnsi="仿宋" w:eastAsia="仿宋" w:cs="仿宋"/>
                <w:b/>
                <w:color w:val="auto"/>
                <w:kern w:val="0"/>
                <w:sz w:val="28"/>
                <w:szCs w:val="28"/>
              </w:rPr>
              <w:t>：实施</w:t>
            </w:r>
            <w:r>
              <w:rPr>
                <w:rFonts w:hint="eastAsia" w:ascii="仿宋" w:hAnsi="仿宋" w:eastAsia="仿宋" w:cs="仿宋"/>
                <w:b/>
                <w:color w:val="auto"/>
                <w:kern w:val="0"/>
                <w:sz w:val="28"/>
                <w:szCs w:val="28"/>
                <w:lang w:eastAsia="zh-CN"/>
              </w:rPr>
              <w:t>“万名</w:t>
            </w:r>
            <w:r>
              <w:rPr>
                <w:rFonts w:hint="eastAsia" w:ascii="仿宋" w:hAnsi="仿宋" w:eastAsia="仿宋" w:cs="仿宋"/>
                <w:b/>
                <w:color w:val="auto"/>
                <w:kern w:val="0"/>
                <w:sz w:val="28"/>
                <w:szCs w:val="28"/>
              </w:rPr>
              <w:t>人才</w:t>
            </w:r>
            <w:r>
              <w:rPr>
                <w:rFonts w:hint="eastAsia" w:ascii="仿宋" w:hAnsi="仿宋" w:eastAsia="仿宋" w:cs="仿宋"/>
                <w:b/>
                <w:color w:val="auto"/>
                <w:kern w:val="0"/>
                <w:sz w:val="28"/>
                <w:szCs w:val="28"/>
                <w:lang w:eastAsia="zh-CN"/>
              </w:rPr>
              <w:t>”</w:t>
            </w:r>
            <w:r>
              <w:rPr>
                <w:rFonts w:hint="eastAsia" w:ascii="仿宋" w:hAnsi="仿宋" w:eastAsia="仿宋" w:cs="仿宋"/>
                <w:b/>
                <w:color w:val="auto"/>
                <w:kern w:val="0"/>
                <w:sz w:val="28"/>
                <w:szCs w:val="28"/>
              </w:rPr>
              <w:t>专项培养</w:t>
            </w:r>
            <w:r>
              <w:rPr>
                <w:rFonts w:hint="eastAsia" w:ascii="仿宋" w:hAnsi="仿宋" w:eastAsia="仿宋" w:cs="仿宋"/>
                <w:b/>
                <w:color w:val="auto"/>
                <w:kern w:val="0"/>
                <w:sz w:val="28"/>
                <w:szCs w:val="28"/>
                <w:lang w:eastAsia="zh-CN"/>
              </w:rPr>
              <w:t>计划</w:t>
            </w:r>
          </w:p>
        </w:tc>
      </w:tr>
      <w:tr>
        <w:tblPrEx>
          <w:tblLayout w:type="fixed"/>
          <w:tblCellMar>
            <w:top w:w="0" w:type="dxa"/>
            <w:left w:w="0" w:type="dxa"/>
            <w:bottom w:w="0" w:type="dxa"/>
            <w:right w:w="0" w:type="dxa"/>
          </w:tblCellMar>
        </w:tblPrEx>
        <w:trPr>
          <w:jc w:val="center"/>
        </w:trPr>
        <w:tc>
          <w:tcPr>
            <w:tcW w:w="9072"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bCs w:val="0"/>
                <w:color w:val="auto"/>
                <w:sz w:val="24"/>
                <w:szCs w:val="24"/>
                <w:lang w:val="en-US" w:eastAsia="zh-CN"/>
              </w:rPr>
              <w:t>1.培养万名以上乡村振兴紧缺人才</w:t>
            </w:r>
            <w:r>
              <w:rPr>
                <w:rFonts w:hint="eastAsia" w:ascii="仿宋" w:hAnsi="仿宋" w:eastAsia="仿宋" w:cs="仿宋"/>
                <w:b w:val="0"/>
                <w:bCs/>
                <w:color w:val="auto"/>
                <w:sz w:val="24"/>
                <w:szCs w:val="24"/>
                <w:lang w:val="en-US" w:eastAsia="zh-CN"/>
              </w:rPr>
              <w:t>。加快培养农业生产经营人才、农业农村科技人才，农业农村高科技领军人才、农业农村科技创新人才、农业农村科技推广人才和发展壮大科技特派员队伍。到2025年，培养万人以上乡村振兴紧缺人才。</w:t>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bCs w:val="0"/>
                <w:color w:val="auto"/>
                <w:sz w:val="24"/>
                <w:szCs w:val="24"/>
                <w:lang w:val="en-US" w:eastAsia="zh-CN"/>
              </w:rPr>
              <w:t>2.培养万名以上文化旅游人才</w:t>
            </w:r>
            <w:r>
              <w:rPr>
                <w:rFonts w:hint="eastAsia" w:ascii="仿宋" w:hAnsi="仿宋" w:eastAsia="仿宋" w:cs="仿宋"/>
                <w:b w:val="0"/>
                <w:bCs/>
                <w:color w:val="auto"/>
                <w:sz w:val="24"/>
                <w:szCs w:val="24"/>
                <w:lang w:val="en-US" w:eastAsia="zh-CN"/>
              </w:rPr>
              <w:t>。以文旅行业企业、旅游景区、旅游景点员工为培训对象，开展导游、讲解员、客房服务员、餐厅服务员、民族歌舞表演培训、旅店服务员、礼仪服务培训、民宿客栈服务培训等工种培训，提升从业人员技能水平，坚决守护好云南旅游“金字招牌”。到2025年，组织开展万人以上文化旅游人才培养。</w:t>
            </w:r>
          </w:p>
          <w:p>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bCs w:val="0"/>
                <w:color w:val="auto"/>
                <w:sz w:val="24"/>
                <w:szCs w:val="24"/>
                <w:lang w:val="en-US" w:eastAsia="zh-CN"/>
              </w:rPr>
              <w:t>3.培养万名以上经营管理人才</w:t>
            </w:r>
            <w:r>
              <w:rPr>
                <w:rFonts w:hint="eastAsia" w:ascii="仿宋" w:hAnsi="仿宋" w:eastAsia="仿宋" w:cs="仿宋"/>
                <w:b w:val="0"/>
                <w:bCs/>
                <w:color w:val="auto"/>
                <w:sz w:val="24"/>
                <w:szCs w:val="24"/>
                <w:lang w:val="en-US" w:eastAsia="zh-CN"/>
              </w:rPr>
              <w:t>。在创业层面开展创业辅导培训，每年对刚创业的小微企业经营管理者进行创业培训。在中小企业经营管理人才层面开展巡讲活动，每年对中小企业中高层经营管理人才进行短期集中培训。在企业经营管理领军人才层面开展高级研修班培训，每年选送企业家到高等院校进行系统进修培训。到2025年，组织实施万人以上企业经营管理人才培训。</w:t>
            </w:r>
          </w:p>
          <w:p>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bCs w:val="0"/>
                <w:color w:val="auto"/>
                <w:sz w:val="24"/>
                <w:szCs w:val="24"/>
                <w:lang w:val="en-US" w:eastAsia="zh-CN"/>
              </w:rPr>
              <w:t>4.培养万名以上数字化人才</w:t>
            </w:r>
            <w:r>
              <w:rPr>
                <w:rFonts w:hint="eastAsia" w:ascii="仿宋" w:hAnsi="仿宋" w:eastAsia="仿宋" w:cs="仿宋"/>
                <w:b w:val="0"/>
                <w:bCs/>
                <w:color w:val="auto"/>
                <w:sz w:val="24"/>
                <w:szCs w:val="24"/>
                <w:lang w:val="en-US" w:eastAsia="zh-CN"/>
              </w:rPr>
              <w:t>。着力培养数字战略管理、深度分析、产品研发、先进制造、数字化运营和数字营销等方面的数字化人才。面向互联网创业者、公司白领、网络新媒体从业人员、平台运维人员及在线销售服务人员开展用户体验设计、信息通信营业、人工智能训练、信息安全测试培训。到2025年，培养万人以上数字化人才。</w:t>
            </w:r>
          </w:p>
          <w:p>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bCs w:val="0"/>
                <w:color w:val="auto"/>
                <w:sz w:val="24"/>
                <w:szCs w:val="24"/>
                <w:lang w:val="en-US" w:eastAsia="zh-CN"/>
              </w:rPr>
              <w:t>5.培养万名以上电子商务人才</w:t>
            </w:r>
            <w:r>
              <w:rPr>
                <w:rFonts w:hint="eastAsia" w:ascii="仿宋" w:hAnsi="仿宋" w:eastAsia="仿宋" w:cs="仿宋"/>
                <w:b w:val="0"/>
                <w:bCs/>
                <w:color w:val="auto"/>
                <w:sz w:val="24"/>
                <w:szCs w:val="24"/>
                <w:lang w:val="en-US" w:eastAsia="zh-CN"/>
              </w:rPr>
              <w:t>。聚焦新一轮互联网经济发展机遇，挖掘创业创新潜力，开展创业培训、电商客服管理培训、电商美工培训、电商运营管理培训、跨境电子商务培训、网络创业培训、乡村电子商务培训等项目的培训。到2025年，培养万人以上电子商务人才。</w:t>
            </w:r>
          </w:p>
          <w:p>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color w:val="auto"/>
                <w:kern w:val="0"/>
                <w:sz w:val="32"/>
                <w:szCs w:val="32"/>
              </w:rPr>
            </w:pPr>
            <w:r>
              <w:rPr>
                <w:rFonts w:hint="eastAsia" w:ascii="仿宋" w:hAnsi="仿宋" w:eastAsia="仿宋" w:cs="仿宋"/>
                <w:b/>
                <w:bCs w:val="0"/>
                <w:color w:val="auto"/>
                <w:sz w:val="24"/>
                <w:szCs w:val="24"/>
                <w:lang w:val="en-US" w:eastAsia="zh-CN"/>
              </w:rPr>
              <w:t>6.培养万名以上对外合作交流人才</w:t>
            </w:r>
            <w:r>
              <w:rPr>
                <w:rFonts w:hint="eastAsia" w:ascii="仿宋" w:hAnsi="仿宋" w:eastAsia="仿宋" w:cs="仿宋"/>
                <w:b w:val="0"/>
                <w:bCs/>
                <w:color w:val="auto"/>
                <w:sz w:val="24"/>
                <w:szCs w:val="24"/>
                <w:lang w:val="en-US" w:eastAsia="zh-CN"/>
              </w:rPr>
              <w:t>。聚焦国家“一带一路”战略和我省面向南亚东南亚辐射中心定位，不断深化与周边国家相关政府机构、职业院校、职业培训机构的人文交流合作，积极推行培养模式国际化、师资队伍建设国际化，培养具备全球化视野、通晓国际规则、跨文化沟通能力和竞争力的国际化人才。到2025年，培养万人以上对外交流合作人才。</w:t>
            </w:r>
          </w:p>
        </w:tc>
      </w:tr>
    </w:tbl>
    <w:p>
      <w:pPr>
        <w:pStyle w:val="4"/>
        <w:keepLines w:val="0"/>
        <w:pageBreakBefore w:val="0"/>
        <w:kinsoku/>
        <w:wordWrap/>
        <w:overflowPunct w:val="0"/>
        <w:topLinePunct w:val="0"/>
        <w:autoSpaceDE/>
        <w:autoSpaceDN/>
        <w:bidi w:val="0"/>
        <w:adjustRightInd w:val="0"/>
        <w:snapToGrid w:val="0"/>
        <w:spacing w:before="0" w:after="0"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七、推进人力资源市场体系建设 健全公共就业服务体系</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持续加强全省统一规范的人力资源市场体系建设，着力打造覆盖全民、贯穿全程、辐射全域、便捷高效的全方位公共就业服务体系，提升</w:t>
      </w:r>
      <w:r>
        <w:rPr>
          <w:rFonts w:hint="eastAsia" w:ascii="仿宋" w:hAnsi="仿宋" w:eastAsia="仿宋" w:cs="仿宋"/>
          <w:color w:val="auto"/>
          <w:sz w:val="32"/>
          <w:szCs w:val="32"/>
          <w:u w:color="000000"/>
          <w:lang w:eastAsia="zh-CN"/>
        </w:rPr>
        <w:t>人力资源</w:t>
      </w:r>
      <w:r>
        <w:rPr>
          <w:rFonts w:hint="eastAsia" w:ascii="仿宋" w:hAnsi="仿宋" w:eastAsia="仿宋" w:cs="仿宋"/>
          <w:color w:val="auto"/>
          <w:sz w:val="32"/>
          <w:szCs w:val="32"/>
          <w:u w:color="000000"/>
        </w:rPr>
        <w:t>市场供需匹配效率。</w:t>
      </w:r>
      <w:bookmarkStart w:id="251" w:name="_Toc1180123762"/>
      <w:bookmarkStart w:id="252" w:name="_Toc36707557"/>
      <w:bookmarkStart w:id="253" w:name="_Toc384501698"/>
      <w:bookmarkStart w:id="254" w:name="_Toc77418632"/>
      <w:bookmarkStart w:id="255" w:name="_Toc650536204"/>
      <w:bookmarkStart w:id="256" w:name="_Toc2102855799"/>
      <w:bookmarkStart w:id="257" w:name="_Toc57873876"/>
      <w:bookmarkStart w:id="258" w:name="_Toc1173029739"/>
      <w:bookmarkStart w:id="259" w:name="_Toc420731082"/>
      <w:bookmarkStart w:id="260" w:name="_Toc905129524"/>
      <w:bookmarkStart w:id="261" w:name="_Toc827444135"/>
      <w:bookmarkStart w:id="262" w:name="_Toc682294647"/>
      <w:bookmarkStart w:id="263" w:name="_Toc1355046565"/>
      <w:bookmarkStart w:id="264" w:name="_Toc1319847777"/>
      <w:bookmarkStart w:id="265" w:name="_Toc1554110810"/>
      <w:bookmarkStart w:id="266" w:name="_Toc337072978"/>
      <w:bookmarkStart w:id="267" w:name="_Toc351474058"/>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rPr>
      </w:pPr>
      <w:r>
        <w:rPr>
          <w:rFonts w:hint="eastAsia" w:ascii="楷体" w:hAnsi="楷体" w:eastAsia="楷体" w:cs="楷体"/>
          <w:bCs/>
          <w:color w:val="auto"/>
          <w:kern w:val="44"/>
          <w:sz w:val="32"/>
          <w:szCs w:val="32"/>
          <w:u w:color="000000"/>
        </w:rPr>
        <w:t>（二十七）建设高标准人力资源市场体系</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Fonts w:hint="eastAsia" w:ascii="仿宋" w:hAnsi="仿宋" w:eastAsia="仿宋" w:cs="仿宋"/>
          <w:bCs/>
          <w:color w:val="auto"/>
          <w:kern w:val="44"/>
          <w:sz w:val="32"/>
          <w:szCs w:val="32"/>
          <w:u w:color="000000"/>
        </w:rPr>
        <w:t>。</w:t>
      </w:r>
      <w:r>
        <w:rPr>
          <w:rFonts w:hint="eastAsia" w:ascii="仿宋" w:hAnsi="仿宋" w:eastAsia="仿宋" w:cs="仿宋"/>
          <w:color w:val="auto"/>
          <w:sz w:val="32"/>
          <w:szCs w:val="32"/>
        </w:rPr>
        <w:t>贯彻落实《人力资源市场</w:t>
      </w:r>
      <w:r>
        <w:rPr>
          <w:rFonts w:hint="eastAsia" w:ascii="仿宋" w:hAnsi="仿宋" w:eastAsia="仿宋" w:cs="仿宋"/>
          <w:color w:val="auto"/>
          <w:sz w:val="32"/>
          <w:szCs w:val="32"/>
          <w:lang w:eastAsia="zh-CN"/>
        </w:rPr>
        <w:t>暂行</w:t>
      </w:r>
      <w:r>
        <w:rPr>
          <w:rFonts w:hint="eastAsia" w:ascii="仿宋" w:hAnsi="仿宋" w:eastAsia="仿宋" w:cs="仿宋"/>
          <w:color w:val="auto"/>
          <w:sz w:val="32"/>
          <w:szCs w:val="32"/>
        </w:rPr>
        <w:t>条例》，健全统一开放、竞争有序的人力资源市场体系，发挥市场在人力资源配置中的决定性作用。</w:t>
      </w:r>
      <w:r>
        <w:rPr>
          <w:rFonts w:hint="eastAsia" w:ascii="仿宋" w:hAnsi="仿宋" w:eastAsia="仿宋" w:cs="仿宋"/>
          <w:color w:val="auto"/>
          <w:sz w:val="32"/>
          <w:szCs w:val="32"/>
          <w:u w:color="000000"/>
        </w:rPr>
        <w:t>加快人力资源服务业高质量发展。推动人力资源服务与实体经济融合发展，引导人力资源服务机构围绕产业基础高级化、产业链现代化提供精准专业服务。鼓励人力资源服务业管理创新、技术创新、服务创新和产品创新，大力发展人力资源管理咨询、高级人才寻访、人才测评等高技术、高附加值业态。</w:t>
      </w:r>
      <w:r>
        <w:rPr>
          <w:rFonts w:hint="eastAsia" w:ascii="仿宋" w:hAnsi="仿宋" w:eastAsia="仿宋" w:cs="仿宋"/>
          <w:color w:val="auto"/>
          <w:sz w:val="32"/>
          <w:szCs w:val="32"/>
          <w:u w:color="000000"/>
          <w:lang w:eastAsia="zh-CN"/>
        </w:rPr>
        <w:t>实施</w:t>
      </w:r>
      <w:r>
        <w:rPr>
          <w:rFonts w:hint="eastAsia" w:ascii="仿宋" w:hAnsi="仿宋" w:eastAsia="仿宋" w:cs="仿宋"/>
          <w:color w:val="auto"/>
          <w:sz w:val="32"/>
          <w:szCs w:val="32"/>
          <w:u w:color="000000"/>
        </w:rPr>
        <w:t>人力资源服务业领军人才培养计划</w:t>
      </w:r>
      <w:r>
        <w:rPr>
          <w:rFonts w:hint="eastAsia" w:ascii="仿宋" w:hAnsi="仿宋" w:eastAsia="仿宋" w:cs="仿宋"/>
          <w:color w:val="auto"/>
          <w:sz w:val="32"/>
          <w:szCs w:val="32"/>
          <w:u w:color="000000"/>
          <w:lang w:eastAsia="zh-CN"/>
        </w:rPr>
        <w:t>，推动从业人员素质提升</w:t>
      </w:r>
      <w:r>
        <w:rPr>
          <w:rFonts w:hint="eastAsia" w:ascii="仿宋" w:hAnsi="仿宋" w:eastAsia="仿宋" w:cs="仿宋"/>
          <w:color w:val="auto"/>
          <w:sz w:val="32"/>
          <w:szCs w:val="32"/>
          <w:u w:color="000000"/>
        </w:rPr>
        <w:t>。</w:t>
      </w:r>
      <w:r>
        <w:rPr>
          <w:rFonts w:hint="eastAsia" w:ascii="仿宋" w:hAnsi="仿宋" w:eastAsia="仿宋" w:cs="仿宋"/>
          <w:color w:val="auto"/>
          <w:sz w:val="32"/>
          <w:szCs w:val="32"/>
          <w:u w:color="000000"/>
          <w:lang w:eastAsia="zh-CN"/>
        </w:rPr>
        <w:t>开展</w:t>
      </w:r>
      <w:r>
        <w:rPr>
          <w:rFonts w:hint="eastAsia" w:ascii="仿宋" w:hAnsi="仿宋" w:eastAsia="仿宋" w:cs="仿宋"/>
          <w:color w:val="auto"/>
          <w:sz w:val="32"/>
          <w:szCs w:val="32"/>
          <w:u w:color="000000"/>
        </w:rPr>
        <w:t>“互联网+人力资源服务”行动。深化人力资源服务领域对外开放，</w:t>
      </w:r>
      <w:r>
        <w:rPr>
          <w:rFonts w:hint="eastAsia" w:ascii="仿宋" w:hAnsi="仿宋" w:eastAsia="仿宋" w:cs="仿宋"/>
          <w:color w:val="auto"/>
          <w:sz w:val="32"/>
          <w:szCs w:val="32"/>
          <w:u w:color="000000"/>
          <w:lang w:eastAsia="zh-CN"/>
        </w:rPr>
        <w:t>促进人力资源服务开展区域和国际交流合作</w:t>
      </w:r>
      <w:r>
        <w:rPr>
          <w:rFonts w:hint="eastAsia" w:ascii="仿宋" w:hAnsi="仿宋" w:eastAsia="仿宋" w:cs="仿宋"/>
          <w:color w:val="auto"/>
          <w:sz w:val="32"/>
          <w:szCs w:val="32"/>
          <w:u w:color="000000"/>
        </w:rPr>
        <w:t>。</w:t>
      </w:r>
    </w:p>
    <w:tbl>
      <w:tblPr>
        <w:tblStyle w:val="12"/>
        <w:tblW w:w="9072" w:type="dxa"/>
        <w:jc w:val="center"/>
        <w:tblInd w:w="0" w:type="dxa"/>
        <w:tblLayout w:type="fixed"/>
        <w:tblCellMar>
          <w:top w:w="0" w:type="dxa"/>
          <w:left w:w="0" w:type="dxa"/>
          <w:bottom w:w="0" w:type="dxa"/>
          <w:right w:w="0" w:type="dxa"/>
        </w:tblCellMar>
      </w:tblPr>
      <w:tblGrid>
        <w:gridCol w:w="9072"/>
      </w:tblGrid>
      <w:tr>
        <w:tblPrEx>
          <w:tblLayout w:type="fixed"/>
          <w:tblCellMar>
            <w:top w:w="0" w:type="dxa"/>
            <w:left w:w="0" w:type="dxa"/>
            <w:bottom w:w="0" w:type="dxa"/>
            <w:right w:w="0" w:type="dxa"/>
          </w:tblCellMar>
        </w:tblPrEx>
        <w:trPr>
          <w:trHeight w:val="558" w:hRule="atLeast"/>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pacing w:line="380" w:lineRule="exact"/>
              <w:jc w:val="center"/>
              <w:textAlignment w:val="auto"/>
              <w:rPr>
                <w:rFonts w:hint="eastAsia" w:ascii="仿宋" w:hAnsi="仿宋" w:eastAsia="仿宋" w:cs="仿宋"/>
                <w:b/>
                <w:color w:val="auto"/>
                <w:kern w:val="0"/>
                <w:sz w:val="28"/>
                <w:szCs w:val="28"/>
              </w:rPr>
            </w:pPr>
            <w:r>
              <w:rPr>
                <w:rFonts w:hint="eastAsia" w:ascii="仿宋" w:hAnsi="仿宋" w:eastAsia="仿宋" w:cs="仿宋"/>
                <w:b/>
                <w:color w:val="auto"/>
                <w:kern w:val="0"/>
                <w:sz w:val="28"/>
                <w:szCs w:val="28"/>
              </w:rPr>
              <w:t>专栏</w:t>
            </w:r>
            <w:r>
              <w:rPr>
                <w:rFonts w:hint="eastAsia" w:ascii="仿宋" w:hAnsi="仿宋" w:eastAsia="仿宋" w:cs="仿宋"/>
                <w:b/>
                <w:color w:val="auto"/>
                <w:kern w:val="0"/>
                <w:sz w:val="28"/>
                <w:szCs w:val="28"/>
                <w:lang w:val="en-US" w:eastAsia="zh-CN"/>
              </w:rPr>
              <w:t>15</w:t>
            </w:r>
            <w:r>
              <w:rPr>
                <w:rFonts w:hint="eastAsia" w:ascii="仿宋" w:hAnsi="仿宋" w:eastAsia="仿宋" w:cs="仿宋"/>
                <w:b/>
                <w:color w:val="auto"/>
                <w:kern w:val="0"/>
                <w:sz w:val="28"/>
                <w:szCs w:val="28"/>
              </w:rPr>
              <w:t>：实施人力资源服务业高质量发展行动</w:t>
            </w:r>
          </w:p>
        </w:tc>
      </w:tr>
      <w:tr>
        <w:tblPrEx>
          <w:tblLayout w:type="fixed"/>
          <w:tblCellMar>
            <w:top w:w="0" w:type="dxa"/>
            <w:left w:w="0" w:type="dxa"/>
            <w:bottom w:w="0" w:type="dxa"/>
            <w:right w:w="0" w:type="dxa"/>
          </w:tblCellMar>
        </w:tblPrEx>
        <w:trPr>
          <w:jc w:val="center"/>
        </w:trPr>
        <w:tc>
          <w:tcPr>
            <w:tcW w:w="9072"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snapToGrid w:val="0"/>
              <w:spacing w:line="380" w:lineRule="exact"/>
              <w:ind w:firstLine="482" w:firstLineChars="200"/>
              <w:textAlignment w:val="auto"/>
              <w:rPr>
                <w:rFonts w:hint="eastAsia" w:ascii="仿宋" w:hAnsi="仿宋" w:eastAsia="仿宋" w:cs="仿宋"/>
                <w:color w:val="auto"/>
                <w:sz w:val="24"/>
                <w:szCs w:val="24"/>
                <w:lang w:eastAsia="zh-CN"/>
              </w:rPr>
            </w:pPr>
            <w:r>
              <w:rPr>
                <w:rFonts w:hint="eastAsia" w:ascii="仿宋" w:hAnsi="仿宋" w:eastAsia="仿宋" w:cs="仿宋"/>
                <w:b/>
                <w:color w:val="auto"/>
                <w:sz w:val="24"/>
                <w:szCs w:val="24"/>
              </w:rPr>
              <w:t>1.人力资源服务业骨干企业培育计划。</w:t>
            </w:r>
            <w:r>
              <w:rPr>
                <w:rFonts w:hint="eastAsia" w:ascii="仿宋" w:hAnsi="仿宋" w:eastAsia="仿宋" w:cs="仿宋"/>
                <w:color w:val="auto"/>
                <w:sz w:val="24"/>
                <w:szCs w:val="24"/>
              </w:rPr>
              <w:t>重点培育一批有核心产品、成长性好、具有</w:t>
            </w:r>
            <w:r>
              <w:rPr>
                <w:rFonts w:hint="eastAsia" w:ascii="仿宋" w:hAnsi="仿宋" w:eastAsia="仿宋" w:cs="仿宋"/>
                <w:color w:val="auto"/>
                <w:sz w:val="24"/>
                <w:szCs w:val="24"/>
                <w:lang w:eastAsia="zh-CN"/>
              </w:rPr>
              <w:t>区域性</w:t>
            </w:r>
            <w:r>
              <w:rPr>
                <w:rFonts w:hint="eastAsia" w:ascii="仿宋" w:hAnsi="仿宋" w:eastAsia="仿宋" w:cs="仿宋"/>
                <w:color w:val="auto"/>
                <w:sz w:val="24"/>
                <w:szCs w:val="24"/>
              </w:rPr>
              <w:t>国际竞争力的综合性人力资源服务企业，加快发展有市场、有特色、有潜力的专业化人力资源服务骨干企业，推动人力资源服务业细化专业分工，向价值链高端延伸。</w:t>
            </w:r>
            <w:r>
              <w:rPr>
                <w:rFonts w:hint="eastAsia" w:ascii="仿宋" w:hAnsi="仿宋" w:eastAsia="仿宋" w:cs="仿宋"/>
                <w:color w:val="auto"/>
                <w:sz w:val="24"/>
                <w:szCs w:val="24"/>
                <w:lang w:eastAsia="zh-CN"/>
              </w:rPr>
              <w:t>支持云南省人力资源开发有限公司成为全省人力资源龙头企业。</w:t>
            </w:r>
          </w:p>
          <w:p>
            <w:pPr>
              <w:keepNext w:val="0"/>
              <w:keepLines w:val="0"/>
              <w:pageBreakBefore w:val="0"/>
              <w:widowControl/>
              <w:kinsoku/>
              <w:wordWrap/>
              <w:overflowPunct/>
              <w:topLinePunct w:val="0"/>
              <w:autoSpaceDE/>
              <w:autoSpaceDN/>
              <w:bidi w:val="0"/>
              <w:adjustRightInd/>
              <w:snapToGrid w:val="0"/>
              <w:spacing w:line="380" w:lineRule="exact"/>
              <w:ind w:firstLine="482" w:firstLineChars="200"/>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2.人力资源产业园建设计划。</w:t>
            </w:r>
            <w:r>
              <w:rPr>
                <w:rFonts w:hint="eastAsia" w:ascii="仿宋" w:hAnsi="仿宋" w:eastAsia="仿宋" w:cs="仿宋"/>
                <w:color w:val="auto"/>
                <w:sz w:val="24"/>
                <w:szCs w:val="24"/>
                <w:lang w:eastAsia="zh-CN"/>
              </w:rPr>
              <w:t>加快推进</w:t>
            </w:r>
            <w:r>
              <w:rPr>
                <w:rFonts w:hint="eastAsia" w:ascii="仿宋" w:hAnsi="仿宋" w:eastAsia="仿宋" w:cs="仿宋"/>
                <w:color w:val="auto"/>
                <w:sz w:val="24"/>
                <w:szCs w:val="24"/>
              </w:rPr>
              <w:t>国家级</w:t>
            </w:r>
            <w:r>
              <w:rPr>
                <w:rFonts w:hint="eastAsia" w:ascii="仿宋" w:hAnsi="仿宋" w:eastAsia="仿宋" w:cs="仿宋"/>
                <w:color w:val="auto"/>
                <w:sz w:val="24"/>
                <w:szCs w:val="24"/>
                <w:lang w:eastAsia="zh-CN"/>
              </w:rPr>
              <w:t>中国（昆明）</w:t>
            </w:r>
            <w:r>
              <w:rPr>
                <w:rFonts w:hint="eastAsia" w:ascii="仿宋" w:hAnsi="仿宋" w:eastAsia="仿宋" w:cs="仿宋"/>
                <w:color w:val="auto"/>
                <w:sz w:val="24"/>
                <w:szCs w:val="24"/>
              </w:rPr>
              <w:t>人力资源服务产业园</w:t>
            </w:r>
            <w:r>
              <w:rPr>
                <w:rFonts w:hint="eastAsia" w:ascii="仿宋" w:hAnsi="仿宋" w:eastAsia="仿宋" w:cs="仿宋"/>
                <w:color w:val="auto"/>
                <w:sz w:val="24"/>
                <w:szCs w:val="24"/>
                <w:lang w:eastAsia="zh-CN"/>
              </w:rPr>
              <w:t>建设</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支持建设一批省级人力资源服务产业园，</w:t>
            </w:r>
            <w:r>
              <w:rPr>
                <w:rFonts w:hint="eastAsia" w:ascii="仿宋" w:hAnsi="仿宋" w:eastAsia="仿宋" w:cs="仿宋"/>
                <w:color w:val="auto"/>
                <w:sz w:val="24"/>
                <w:szCs w:val="24"/>
              </w:rPr>
              <w:t>开展产业园建设评估工作。鼓励有条件的地区根据本地经济发展和产业转型需要，培育建设一批有特色、有活力、有效益的地方人力资源服务产业园。</w:t>
            </w:r>
          </w:p>
          <w:p>
            <w:pPr>
              <w:keepNext w:val="0"/>
              <w:keepLines w:val="0"/>
              <w:pageBreakBefore w:val="0"/>
              <w:widowControl/>
              <w:kinsoku/>
              <w:wordWrap/>
              <w:overflowPunct/>
              <w:topLinePunct w:val="0"/>
              <w:autoSpaceDE/>
              <w:autoSpaceDN/>
              <w:bidi w:val="0"/>
              <w:adjustRightInd/>
              <w:snapToGrid w:val="0"/>
              <w:spacing w:line="380" w:lineRule="exact"/>
              <w:ind w:firstLine="482" w:firstLineChars="200"/>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3.“一带一路”人力资源服务</w:t>
            </w:r>
            <w:r>
              <w:rPr>
                <w:rFonts w:hint="eastAsia" w:ascii="仿宋" w:hAnsi="仿宋" w:eastAsia="仿宋" w:cs="仿宋"/>
                <w:b/>
                <w:color w:val="auto"/>
                <w:sz w:val="24"/>
                <w:szCs w:val="24"/>
                <w:lang w:eastAsia="zh-CN"/>
              </w:rPr>
              <w:t>行动</w:t>
            </w:r>
            <w:r>
              <w:rPr>
                <w:rFonts w:hint="eastAsia" w:ascii="仿宋" w:hAnsi="仿宋" w:eastAsia="仿宋" w:cs="仿宋"/>
                <w:b/>
                <w:color w:val="auto"/>
                <w:sz w:val="24"/>
                <w:szCs w:val="24"/>
              </w:rPr>
              <w:t>。</w:t>
            </w:r>
            <w:r>
              <w:rPr>
                <w:rFonts w:hint="eastAsia" w:ascii="仿宋" w:hAnsi="仿宋" w:eastAsia="仿宋" w:cs="仿宋"/>
                <w:color w:val="auto"/>
                <w:sz w:val="24"/>
                <w:szCs w:val="24"/>
              </w:rPr>
              <w:t>稳步推进人力资源服务业开放发展，支持人力资源服务企业在共建“一带一路”国家设立分支机构，积极开拓国际市场，构建全球服务网络。加快发展人力资源服务贸易。</w:t>
            </w:r>
          </w:p>
          <w:p>
            <w:pPr>
              <w:keepNext w:val="0"/>
              <w:keepLines w:val="0"/>
              <w:pageBreakBefore w:val="0"/>
              <w:widowControl/>
              <w:kinsoku/>
              <w:wordWrap/>
              <w:overflowPunct/>
              <w:topLinePunct w:val="0"/>
              <w:autoSpaceDE/>
              <w:autoSpaceDN/>
              <w:bidi w:val="0"/>
              <w:adjustRightInd/>
              <w:snapToGrid w:val="0"/>
              <w:spacing w:line="380" w:lineRule="exact"/>
              <w:ind w:firstLine="482" w:firstLineChars="200"/>
              <w:textAlignment w:val="auto"/>
              <w:rPr>
                <w:rFonts w:hint="eastAsia" w:ascii="仿宋" w:hAnsi="仿宋" w:eastAsia="仿宋" w:cs="仿宋"/>
                <w:color w:val="auto"/>
                <w:kern w:val="0"/>
                <w:sz w:val="32"/>
                <w:szCs w:val="32"/>
              </w:rPr>
            </w:pPr>
            <w:r>
              <w:rPr>
                <w:rFonts w:hint="eastAsia" w:ascii="仿宋" w:hAnsi="仿宋" w:eastAsia="仿宋" w:cs="仿宋"/>
                <w:b/>
                <w:color w:val="auto"/>
                <w:sz w:val="24"/>
                <w:szCs w:val="24"/>
              </w:rPr>
              <w:t>4.人力资源服务业促就业行动计划。</w:t>
            </w:r>
            <w:r>
              <w:rPr>
                <w:rFonts w:hint="eastAsia" w:ascii="仿宋" w:hAnsi="仿宋" w:eastAsia="仿宋" w:cs="仿宋"/>
                <w:color w:val="auto"/>
                <w:sz w:val="24"/>
                <w:szCs w:val="24"/>
              </w:rPr>
              <w:t>开展人力资源服务业联合招聘、行业企业用工服务、重点群体就业帮扶、灵活就业服务、劳务协作服务等行动。</w:t>
            </w:r>
          </w:p>
        </w:tc>
      </w:tr>
    </w:tbl>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提高人力资源市场规范化水平。深化人力资源市场“放管服”改革，规范实施人力资源服务许可，持续优化人力资源市场环境。加强人力资源市场管理信息化、人力资源服务标准化和人力资源市场信用体系建设，完善人力资源服务机构信用评价标准和制度。组织开展诚信服务活动，选树一批诚信人力资源服务典型。</w:t>
      </w:r>
      <w:bookmarkStart w:id="268" w:name="_Toc293055732"/>
      <w:bookmarkStart w:id="269" w:name="_Toc635973877"/>
      <w:bookmarkStart w:id="270" w:name="_Toc834424679"/>
      <w:bookmarkStart w:id="271" w:name="_Toc562553734"/>
      <w:bookmarkStart w:id="272" w:name="_Toc340351847"/>
      <w:bookmarkStart w:id="273" w:name="_Toc1835472512"/>
      <w:bookmarkStart w:id="274" w:name="_Toc56973738"/>
      <w:bookmarkStart w:id="275" w:name="_Toc1540842621"/>
      <w:bookmarkStart w:id="276" w:name="_Toc927104496"/>
      <w:bookmarkStart w:id="277" w:name="_Toc633471605"/>
      <w:bookmarkStart w:id="278" w:name="_Toc1190094746"/>
      <w:bookmarkStart w:id="279" w:name="_Toc878124236"/>
      <w:bookmarkStart w:id="280" w:name="_Toc530760392"/>
      <w:bookmarkStart w:id="281" w:name="_Toc809532923"/>
      <w:bookmarkStart w:id="282" w:name="_Toc454424977"/>
      <w:bookmarkStart w:id="283" w:name="_Toc1044931969"/>
      <w:bookmarkStart w:id="284" w:name="_Toc1486193143"/>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楷体" w:hAnsi="楷体" w:eastAsia="楷体" w:cs="楷体"/>
          <w:bCs/>
          <w:color w:val="auto"/>
          <w:kern w:val="44"/>
          <w:sz w:val="32"/>
          <w:szCs w:val="32"/>
          <w:u w:color="000000"/>
        </w:rPr>
        <w:t>（二十八）健全全方位公共就业服务体系</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Fonts w:hint="eastAsia" w:ascii="楷体" w:hAnsi="楷体" w:eastAsia="楷体" w:cs="楷体"/>
          <w:bCs/>
          <w:color w:val="auto"/>
          <w:kern w:val="44"/>
          <w:sz w:val="32"/>
          <w:szCs w:val="32"/>
          <w:u w:color="000000"/>
        </w:rPr>
        <w:t>和提质增效</w:t>
      </w:r>
      <w:r>
        <w:rPr>
          <w:rFonts w:hint="eastAsia" w:ascii="仿宋" w:hAnsi="仿宋" w:eastAsia="仿宋" w:cs="仿宋"/>
          <w:bCs/>
          <w:color w:val="auto"/>
          <w:kern w:val="44"/>
          <w:sz w:val="32"/>
          <w:szCs w:val="32"/>
          <w:u w:color="000000"/>
        </w:rPr>
        <w:t>。</w:t>
      </w:r>
      <w:r>
        <w:rPr>
          <w:rFonts w:hint="eastAsia" w:ascii="仿宋" w:hAnsi="仿宋" w:eastAsia="仿宋" w:cs="仿宋"/>
          <w:color w:val="auto"/>
          <w:sz w:val="32"/>
          <w:szCs w:val="32"/>
          <w:u w:color="000000"/>
        </w:rPr>
        <w:t>完善公共就业服务制度。健全户籍地、常住地、参保地、就业地公共就业服务供给机制，推进就业创业政策咨询、就业失业登记、职业介绍等服务覆盖全体城乡劳动者。支持各类市场主体在注册地、经营地、用工地免费享受劳动用工咨询、招聘信息发布等服务。推动公共就业服务向农村延伸，实现城乡公共就业服务便利共享。持续改善革命老区、少数民族地区、</w:t>
      </w:r>
      <w:r>
        <w:rPr>
          <w:rFonts w:hint="eastAsia" w:ascii="仿宋" w:hAnsi="仿宋" w:eastAsia="仿宋" w:cs="仿宋"/>
          <w:color w:val="auto"/>
          <w:sz w:val="32"/>
          <w:szCs w:val="32"/>
          <w:u w:color="000000"/>
          <w:lang w:eastAsia="zh-CN"/>
        </w:rPr>
        <w:t>边境</w:t>
      </w:r>
      <w:r>
        <w:rPr>
          <w:rFonts w:hint="eastAsia" w:ascii="仿宋" w:hAnsi="仿宋" w:eastAsia="仿宋" w:cs="仿宋"/>
          <w:color w:val="auto"/>
          <w:sz w:val="32"/>
          <w:szCs w:val="32"/>
          <w:u w:color="000000"/>
        </w:rPr>
        <w:t>地区等边远和欠发达地区公共就业服务水平和质量，缩小区域间差距。</w:t>
      </w:r>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加强公共就业服务机构设置。完善街道（乡镇）、社区（村）服务平台，构建覆盖城乡的公共就业服务网络。合理配置公共就业服务机构人员，加强职业指导、职业信息分析、创业指导等专业化、职业化队伍建设，健全激励保障措施。组织动员各类人民团体、社会团体参与提供公共就业服务，支持民办非营利性社会组织提供公益性就业服务，鼓励各类志愿组织提供灵活性就业服务。</w:t>
      </w:r>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增强公共就业服务能力。健全公共就业服务标准体系，完善设施设备配置、人员配置等指导性标准，统一公共就业服务视觉识别系统，统一核心业务流程和规范。加快就业服务智慧化升级，推动就业服务向移动终端、自助平台延伸，打造集政策解读、业务办理等于一体的智能服务模式，逐步实现服务事项“一网通办”。推进流动人员人事档案信息化建设。建立综合评价指标体系，开展公共就业服务需求分析、社会满意度调查和第三方评估。创建一批公共就业创业服务示范城市，开展充分就业社区建设。</w:t>
      </w:r>
    </w:p>
    <w:tbl>
      <w:tblPr>
        <w:tblStyle w:val="12"/>
        <w:tblW w:w="9072"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07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558" w:hRule="atLeast"/>
          <w:jc w:val="center"/>
        </w:trPr>
        <w:tc>
          <w:tcPr>
            <w:tcW w:w="9072" w:type="dxa"/>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auto"/>
              <w:rPr>
                <w:rFonts w:hint="eastAsia" w:ascii="仿宋" w:hAnsi="仿宋" w:eastAsia="仿宋" w:cs="仿宋"/>
                <w:b/>
                <w:color w:val="auto"/>
                <w:kern w:val="0"/>
                <w:sz w:val="28"/>
                <w:szCs w:val="28"/>
              </w:rPr>
            </w:pPr>
            <w:r>
              <w:rPr>
                <w:rFonts w:hint="eastAsia" w:ascii="仿宋" w:hAnsi="仿宋" w:eastAsia="仿宋" w:cs="仿宋"/>
                <w:b/>
                <w:color w:val="auto"/>
                <w:kern w:val="0"/>
                <w:sz w:val="28"/>
                <w:szCs w:val="28"/>
              </w:rPr>
              <w:t>专栏</w:t>
            </w:r>
            <w:r>
              <w:rPr>
                <w:rFonts w:hint="eastAsia" w:ascii="仿宋" w:hAnsi="仿宋" w:eastAsia="仿宋" w:cs="仿宋"/>
                <w:b/>
                <w:color w:val="auto"/>
                <w:kern w:val="0"/>
                <w:sz w:val="28"/>
                <w:szCs w:val="28"/>
                <w:lang w:val="en-US" w:eastAsia="zh-CN"/>
              </w:rPr>
              <w:t>16</w:t>
            </w:r>
            <w:r>
              <w:rPr>
                <w:rFonts w:hint="eastAsia" w:ascii="仿宋" w:hAnsi="仿宋" w:eastAsia="仿宋" w:cs="仿宋"/>
                <w:b/>
                <w:color w:val="auto"/>
                <w:kern w:val="0"/>
                <w:sz w:val="28"/>
                <w:szCs w:val="28"/>
              </w:rPr>
              <w:t>：</w:t>
            </w:r>
            <w:r>
              <w:rPr>
                <w:rFonts w:hint="eastAsia" w:ascii="仿宋" w:hAnsi="仿宋" w:eastAsia="仿宋" w:cs="仿宋"/>
                <w:b/>
                <w:color w:val="auto"/>
                <w:sz w:val="28"/>
                <w:szCs w:val="28"/>
              </w:rPr>
              <w:t>实施提升就业服务质量工程</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jc w:val="center"/>
        </w:trPr>
        <w:tc>
          <w:tcPr>
            <w:tcW w:w="9072" w:type="dxa"/>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1.劳动力市场、人才市场、零工市场建设计划。</w:t>
            </w:r>
            <w:r>
              <w:rPr>
                <w:rFonts w:hint="eastAsia" w:ascii="仿宋" w:hAnsi="仿宋" w:eastAsia="仿宋" w:cs="仿宋"/>
                <w:color w:val="auto"/>
                <w:sz w:val="24"/>
                <w:szCs w:val="24"/>
              </w:rPr>
              <w:t>支持劳动力密集</w:t>
            </w:r>
            <w:r>
              <w:rPr>
                <w:rFonts w:hint="eastAsia" w:ascii="仿宋" w:hAnsi="仿宋" w:eastAsia="仿宋" w:cs="仿宋"/>
                <w:color w:val="auto"/>
                <w:sz w:val="24"/>
                <w:szCs w:val="24"/>
                <w:lang w:eastAsia="zh-CN"/>
              </w:rPr>
              <w:t>或用工密集的州</w:t>
            </w:r>
            <w:r>
              <w:rPr>
                <w:rFonts w:hint="eastAsia" w:ascii="仿宋" w:hAnsi="仿宋" w:eastAsia="仿宋" w:cs="仿宋"/>
                <w:color w:val="auto"/>
                <w:sz w:val="24"/>
                <w:szCs w:val="24"/>
                <w:lang w:val="en-US" w:eastAsia="zh-CN"/>
              </w:rPr>
              <w:t>(市）</w:t>
            </w:r>
            <w:r>
              <w:rPr>
                <w:rFonts w:hint="eastAsia" w:ascii="仿宋" w:hAnsi="仿宋" w:eastAsia="仿宋" w:cs="仿宋"/>
                <w:color w:val="auto"/>
                <w:sz w:val="24"/>
                <w:szCs w:val="24"/>
                <w:lang w:eastAsia="zh-CN"/>
              </w:rPr>
              <w:t>、县（区）和迪庆州、怒江州等地</w:t>
            </w:r>
            <w:r>
              <w:rPr>
                <w:rFonts w:hint="eastAsia" w:ascii="仿宋" w:hAnsi="仿宋" w:eastAsia="仿宋" w:cs="仿宋"/>
                <w:color w:val="auto"/>
                <w:sz w:val="24"/>
                <w:szCs w:val="24"/>
              </w:rPr>
              <w:t>建设</w:t>
            </w:r>
            <w:r>
              <w:rPr>
                <w:rFonts w:hint="eastAsia" w:ascii="仿宋" w:hAnsi="仿宋" w:eastAsia="仿宋" w:cs="仿宋"/>
                <w:color w:val="auto"/>
                <w:sz w:val="24"/>
                <w:szCs w:val="24"/>
                <w:lang w:eastAsia="zh-CN"/>
              </w:rPr>
              <w:t>和完善</w:t>
            </w:r>
            <w:r>
              <w:rPr>
                <w:rFonts w:hint="eastAsia" w:ascii="仿宋" w:hAnsi="仿宋" w:eastAsia="仿宋" w:cs="仿宋"/>
                <w:color w:val="auto"/>
                <w:sz w:val="24"/>
                <w:szCs w:val="24"/>
              </w:rPr>
              <w:t>一批劳动力市场。结合国家区域战略</w:t>
            </w:r>
            <w:r>
              <w:rPr>
                <w:rFonts w:hint="eastAsia" w:ascii="仿宋" w:hAnsi="仿宋" w:eastAsia="仿宋" w:cs="仿宋"/>
                <w:color w:val="auto"/>
                <w:sz w:val="24"/>
                <w:szCs w:val="24"/>
                <w:lang w:eastAsia="zh-CN"/>
              </w:rPr>
              <w:t>和省委、省政府部署安排，围绕当地</w:t>
            </w:r>
            <w:r>
              <w:rPr>
                <w:rFonts w:hint="eastAsia" w:ascii="仿宋" w:hAnsi="仿宋" w:eastAsia="仿宋" w:cs="仿宋"/>
                <w:color w:val="auto"/>
                <w:sz w:val="24"/>
                <w:szCs w:val="24"/>
              </w:rPr>
              <w:t>产业结构，建设</w:t>
            </w:r>
            <w:r>
              <w:rPr>
                <w:rFonts w:hint="eastAsia" w:ascii="仿宋" w:hAnsi="仿宋" w:eastAsia="仿宋" w:cs="仿宋"/>
                <w:color w:val="auto"/>
                <w:sz w:val="24"/>
                <w:szCs w:val="24"/>
                <w:lang w:eastAsia="zh-CN"/>
              </w:rPr>
              <w:t>和完善</w:t>
            </w:r>
            <w:r>
              <w:rPr>
                <w:rFonts w:hint="eastAsia" w:ascii="仿宋" w:hAnsi="仿宋" w:eastAsia="仿宋" w:cs="仿宋"/>
                <w:color w:val="auto"/>
                <w:sz w:val="24"/>
                <w:szCs w:val="24"/>
              </w:rPr>
              <w:t>一批专业性人才市场。</w:t>
            </w:r>
            <w:r>
              <w:rPr>
                <w:rFonts w:hint="eastAsia" w:ascii="仿宋" w:hAnsi="仿宋" w:eastAsia="仿宋" w:cs="仿宋"/>
                <w:color w:val="auto"/>
                <w:sz w:val="24"/>
                <w:szCs w:val="24"/>
                <w:lang w:eastAsia="zh-CN"/>
              </w:rPr>
              <w:t>支持</w:t>
            </w:r>
            <w:r>
              <w:rPr>
                <w:rFonts w:hint="eastAsia" w:ascii="仿宋" w:hAnsi="仿宋" w:eastAsia="仿宋" w:cs="仿宋"/>
                <w:color w:val="auto"/>
                <w:sz w:val="24"/>
                <w:szCs w:val="24"/>
              </w:rPr>
              <w:t>零工需求较多地区建设</w:t>
            </w:r>
            <w:r>
              <w:rPr>
                <w:rFonts w:hint="eastAsia" w:ascii="仿宋" w:hAnsi="仿宋" w:eastAsia="仿宋" w:cs="仿宋"/>
                <w:color w:val="auto"/>
                <w:sz w:val="24"/>
                <w:szCs w:val="24"/>
                <w:lang w:eastAsia="zh-CN"/>
              </w:rPr>
              <w:t>和完善</w:t>
            </w:r>
            <w:r>
              <w:rPr>
                <w:rFonts w:hint="eastAsia" w:ascii="仿宋" w:hAnsi="仿宋" w:eastAsia="仿宋" w:cs="仿宋"/>
                <w:color w:val="auto"/>
                <w:sz w:val="24"/>
                <w:szCs w:val="24"/>
              </w:rPr>
              <w:t>一批零工市场。支持</w:t>
            </w:r>
            <w:r>
              <w:rPr>
                <w:rFonts w:hint="eastAsia" w:ascii="仿宋" w:hAnsi="仿宋" w:eastAsia="仿宋" w:cs="仿宋"/>
                <w:color w:val="auto"/>
                <w:sz w:val="24"/>
                <w:szCs w:val="24"/>
                <w:lang w:eastAsia="zh-CN"/>
              </w:rPr>
              <w:t>昆明市对南坝人力资源市场的升级改造。</w:t>
            </w:r>
          </w:p>
          <w:p>
            <w:pPr>
              <w:keepNext w:val="0"/>
              <w:keepLines w:val="0"/>
              <w:pageBreakBefore w:val="0"/>
              <w:widowControl/>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2.就业服务基层基础能力提升计划。</w:t>
            </w:r>
            <w:r>
              <w:rPr>
                <w:rFonts w:hint="eastAsia" w:ascii="仿宋" w:hAnsi="仿宋" w:eastAsia="仿宋" w:cs="仿宋"/>
                <w:color w:val="auto"/>
                <w:sz w:val="24"/>
                <w:szCs w:val="24"/>
              </w:rPr>
              <w:t>在人口密集的自然村和社区设置就业服务工作站，</w:t>
            </w:r>
            <w:r>
              <w:rPr>
                <w:rFonts w:hint="eastAsia" w:ascii="仿宋" w:hAnsi="仿宋" w:eastAsia="仿宋" w:cs="仿宋"/>
                <w:color w:val="auto"/>
                <w:sz w:val="24"/>
                <w:szCs w:val="24"/>
                <w:lang w:eastAsia="zh-CN"/>
              </w:rPr>
              <w:t>实现快速就业服务。</w:t>
            </w:r>
            <w:r>
              <w:rPr>
                <w:rFonts w:hint="eastAsia" w:ascii="仿宋" w:hAnsi="仿宋" w:eastAsia="仿宋" w:cs="仿宋"/>
                <w:color w:val="auto"/>
                <w:sz w:val="24"/>
                <w:szCs w:val="24"/>
              </w:rPr>
              <w:t>支持有条件的高等学校、职业学校（含技工院校）开设相关学科专业，对公共就业服务人员进行专项培训。组建就业专家服务团，开展服务下乡、巡回指导等活动，引导专业力量下沉。</w:t>
            </w:r>
          </w:p>
          <w:p>
            <w:pPr>
              <w:keepNext w:val="0"/>
              <w:keepLines w:val="0"/>
              <w:pageBreakBefore w:val="0"/>
              <w:widowControl/>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3.</w:t>
            </w:r>
            <w:r>
              <w:rPr>
                <w:rFonts w:hint="eastAsia" w:ascii="仿宋" w:hAnsi="仿宋" w:eastAsia="仿宋" w:cs="仿宋"/>
                <w:b/>
                <w:color w:val="auto"/>
                <w:sz w:val="24"/>
                <w:szCs w:val="24"/>
                <w:lang w:eastAsia="zh-CN"/>
              </w:rPr>
              <w:t>积极配合</w:t>
            </w:r>
            <w:r>
              <w:rPr>
                <w:rFonts w:hint="eastAsia" w:ascii="仿宋" w:hAnsi="仿宋" w:eastAsia="仿宋" w:cs="仿宋"/>
                <w:b/>
                <w:color w:val="auto"/>
                <w:sz w:val="24"/>
                <w:szCs w:val="24"/>
              </w:rPr>
              <w:t>建立全国统一的公共就业创业服务平台。</w:t>
            </w:r>
            <w:r>
              <w:rPr>
                <w:rFonts w:hint="eastAsia" w:ascii="仿宋" w:hAnsi="仿宋" w:eastAsia="仿宋" w:cs="仿宋"/>
                <w:color w:val="auto"/>
                <w:sz w:val="24"/>
                <w:szCs w:val="24"/>
                <w:lang w:eastAsia="zh-CN"/>
              </w:rPr>
              <w:t>完善升级我省公共就业服务系统</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云南公共就业服务网、“就业彩云南”等平台，形成全省统一的</w:t>
            </w:r>
            <w:r>
              <w:rPr>
                <w:rFonts w:hint="eastAsia" w:ascii="仿宋" w:hAnsi="仿宋" w:eastAsia="仿宋" w:cs="仿宋"/>
                <w:color w:val="auto"/>
                <w:sz w:val="24"/>
                <w:szCs w:val="24"/>
              </w:rPr>
              <w:t>公共就业创业服务平台</w:t>
            </w:r>
            <w:r>
              <w:rPr>
                <w:rFonts w:hint="eastAsia" w:ascii="仿宋" w:hAnsi="仿宋" w:eastAsia="仿宋" w:cs="仿宋"/>
                <w:color w:val="auto"/>
                <w:sz w:val="24"/>
                <w:szCs w:val="24"/>
                <w:lang w:eastAsia="zh-CN"/>
              </w:rPr>
              <w:t>。无障碍全方面融入</w:t>
            </w:r>
            <w:r>
              <w:rPr>
                <w:rFonts w:hint="eastAsia" w:ascii="仿宋" w:hAnsi="仿宋" w:eastAsia="仿宋" w:cs="仿宋"/>
                <w:color w:val="auto"/>
                <w:sz w:val="24"/>
                <w:szCs w:val="24"/>
              </w:rPr>
              <w:t>中国公共招聘网、“就业在线”等</w:t>
            </w:r>
            <w:r>
              <w:rPr>
                <w:rFonts w:hint="eastAsia" w:ascii="仿宋" w:hAnsi="仿宋" w:eastAsia="仿宋" w:cs="仿宋"/>
                <w:color w:val="auto"/>
                <w:sz w:val="24"/>
                <w:szCs w:val="24"/>
                <w:lang w:eastAsia="zh-CN"/>
              </w:rPr>
              <w:t>平台</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促进建成</w:t>
            </w:r>
            <w:r>
              <w:rPr>
                <w:rFonts w:hint="eastAsia" w:ascii="仿宋" w:hAnsi="仿宋" w:eastAsia="仿宋" w:cs="仿宋"/>
                <w:color w:val="auto"/>
                <w:sz w:val="24"/>
                <w:szCs w:val="24"/>
              </w:rPr>
              <w:t>全国统一的服务平台，实现全国各类就业创业信息的共享和联网发布。推进就业补助资金网上申报、网上审核、联网核查。</w:t>
            </w:r>
          </w:p>
          <w:p>
            <w:pPr>
              <w:keepNext w:val="0"/>
              <w:keepLines w:val="0"/>
              <w:pageBreakBefore w:val="0"/>
              <w:widowControl/>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4.健全重点企业用工常态化服务机制。</w:t>
            </w:r>
            <w:r>
              <w:rPr>
                <w:rFonts w:hint="eastAsia" w:ascii="仿宋" w:hAnsi="仿宋" w:eastAsia="仿宋" w:cs="仿宋"/>
                <w:color w:val="auto"/>
                <w:sz w:val="24"/>
                <w:szCs w:val="24"/>
              </w:rPr>
              <w:t>根据各</w:t>
            </w:r>
            <w:r>
              <w:rPr>
                <w:rFonts w:hint="eastAsia" w:ascii="仿宋" w:hAnsi="仿宋" w:eastAsia="仿宋" w:cs="仿宋"/>
                <w:color w:val="auto"/>
                <w:sz w:val="24"/>
                <w:szCs w:val="24"/>
                <w:lang w:eastAsia="zh-CN"/>
              </w:rPr>
              <w:t>州（市）、县（区）</w:t>
            </w:r>
            <w:r>
              <w:rPr>
                <w:rFonts w:hint="eastAsia" w:ascii="仿宋" w:hAnsi="仿宋" w:eastAsia="仿宋" w:cs="仿宋"/>
                <w:color w:val="auto"/>
                <w:sz w:val="24"/>
                <w:szCs w:val="24"/>
              </w:rPr>
              <w:t>经济发展实际，确定一批带动就业能力强、用工规模大的重点企业，建立公共就业服务联系制度，设立就业服务专员，实施定点服务，通过专场招聘、劳务协作等多渠道帮助解决用工问题。</w:t>
            </w:r>
          </w:p>
          <w:p>
            <w:pPr>
              <w:keepNext w:val="0"/>
              <w:keepLines w:val="0"/>
              <w:pageBreakBefore w:val="0"/>
              <w:widowControl/>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5.开展专项招聘服务系列行动。</w:t>
            </w:r>
            <w:r>
              <w:rPr>
                <w:rFonts w:hint="eastAsia" w:ascii="仿宋" w:hAnsi="仿宋" w:eastAsia="仿宋" w:cs="仿宋"/>
                <w:color w:val="auto"/>
                <w:sz w:val="24"/>
                <w:szCs w:val="24"/>
              </w:rPr>
              <w:t>持续</w:t>
            </w:r>
            <w:r>
              <w:rPr>
                <w:rFonts w:hint="eastAsia" w:ascii="仿宋" w:hAnsi="仿宋" w:eastAsia="仿宋" w:cs="仿宋"/>
                <w:color w:val="auto"/>
                <w:sz w:val="24"/>
                <w:szCs w:val="24"/>
                <w:lang w:eastAsia="zh-CN"/>
              </w:rPr>
              <w:t>开展云岭百日攻坚行动、</w:t>
            </w:r>
            <w:r>
              <w:rPr>
                <w:rFonts w:hint="eastAsia" w:ascii="仿宋" w:hAnsi="仿宋" w:eastAsia="仿宋" w:cs="仿宋"/>
                <w:color w:val="auto"/>
                <w:sz w:val="24"/>
                <w:szCs w:val="24"/>
              </w:rPr>
              <w:t>春风行动、春潮行动、民营企业招聘月、百日千万联合招聘等招聘活动，创新活动方式，丰富活动内容，促进供需匹配。</w:t>
            </w:r>
          </w:p>
        </w:tc>
      </w:tr>
    </w:tbl>
    <w:p>
      <w:pPr>
        <w:pStyle w:val="4"/>
        <w:keepLines w:val="0"/>
        <w:pageBreakBefore w:val="0"/>
        <w:kinsoku/>
        <w:wordWrap/>
        <w:overflowPunct w:val="0"/>
        <w:topLinePunct w:val="0"/>
        <w:autoSpaceDE/>
        <w:autoSpaceDN/>
        <w:bidi w:val="0"/>
        <w:adjustRightInd w:val="0"/>
        <w:snapToGrid w:val="0"/>
        <w:spacing w:before="0" w:after="0" w:line="600" w:lineRule="exact"/>
        <w:ind w:firstLine="640" w:firstLineChars="200"/>
        <w:textAlignment w:val="auto"/>
        <w:rPr>
          <w:rFonts w:hint="eastAsia" w:ascii="黑体" w:hAnsi="黑体" w:eastAsia="黑体" w:cs="黑体"/>
          <w:b w:val="0"/>
          <w:bCs/>
          <w:color w:val="auto"/>
          <w:sz w:val="32"/>
          <w:szCs w:val="32"/>
        </w:rPr>
      </w:pPr>
      <w:bookmarkStart w:id="285" w:name="_Toc164978246"/>
      <w:bookmarkStart w:id="286" w:name="_Toc2112442128"/>
      <w:bookmarkStart w:id="287" w:name="_Toc948605130"/>
      <w:bookmarkStart w:id="288" w:name="_Toc72331569"/>
      <w:bookmarkStart w:id="289" w:name="_Toc1588989599"/>
      <w:bookmarkStart w:id="290" w:name="_Toc1512345194"/>
      <w:bookmarkStart w:id="291" w:name="_Toc1914591977"/>
      <w:bookmarkStart w:id="292" w:name="_Toc1220460647"/>
      <w:bookmarkStart w:id="293" w:name="_Toc280331659"/>
      <w:bookmarkStart w:id="294" w:name="_Toc413448529"/>
      <w:bookmarkStart w:id="295" w:name="_Toc605118215"/>
      <w:bookmarkStart w:id="296" w:name="_Toc1083223617"/>
      <w:bookmarkStart w:id="297" w:name="_Toc1562572400"/>
      <w:bookmarkStart w:id="298" w:name="_Toc1081793401"/>
      <w:bookmarkStart w:id="299" w:name="_Toc1945215997"/>
      <w:bookmarkStart w:id="300" w:name="_Toc1314586747"/>
      <w:bookmarkStart w:id="301" w:name="_Toc1955223515"/>
      <w:r>
        <w:rPr>
          <w:rFonts w:hint="eastAsia" w:ascii="黑体" w:hAnsi="黑体" w:eastAsia="黑体" w:cs="黑体"/>
          <w:b w:val="0"/>
          <w:bCs/>
          <w:color w:val="auto"/>
          <w:sz w:val="32"/>
          <w:szCs w:val="32"/>
        </w:rPr>
        <w:t xml:space="preserve">八、优化劳动者就业环境 </w:t>
      </w:r>
      <w:bookmarkEnd w:id="285"/>
      <w:r>
        <w:rPr>
          <w:rFonts w:hint="eastAsia" w:ascii="黑体" w:hAnsi="黑体" w:eastAsia="黑体" w:cs="黑体"/>
          <w:b w:val="0"/>
          <w:bCs/>
          <w:color w:val="auto"/>
          <w:sz w:val="32"/>
          <w:szCs w:val="32"/>
        </w:rPr>
        <w:t>提升劳动者</w:t>
      </w:r>
      <w:bookmarkEnd w:id="286"/>
      <w:bookmarkEnd w:id="287"/>
      <w:r>
        <w:rPr>
          <w:rFonts w:hint="eastAsia" w:ascii="黑体" w:hAnsi="黑体" w:eastAsia="黑体" w:cs="黑体"/>
          <w:b w:val="0"/>
          <w:bCs/>
          <w:color w:val="auto"/>
          <w:sz w:val="32"/>
          <w:szCs w:val="32"/>
        </w:rPr>
        <w:t>收入和</w:t>
      </w:r>
      <w:bookmarkEnd w:id="288"/>
      <w:r>
        <w:rPr>
          <w:rFonts w:hint="eastAsia" w:ascii="黑体" w:hAnsi="黑体" w:eastAsia="黑体" w:cs="黑体"/>
          <w:b w:val="0"/>
          <w:bCs/>
          <w:color w:val="auto"/>
          <w:sz w:val="32"/>
          <w:szCs w:val="32"/>
        </w:rPr>
        <w:t>权益保障水平</w:t>
      </w:r>
      <w:bookmarkEnd w:id="289"/>
      <w:bookmarkEnd w:id="290"/>
      <w:bookmarkEnd w:id="291"/>
      <w:bookmarkEnd w:id="292"/>
      <w:bookmarkEnd w:id="293"/>
      <w:bookmarkEnd w:id="294"/>
      <w:bookmarkEnd w:id="295"/>
      <w:bookmarkEnd w:id="296"/>
      <w:bookmarkEnd w:id="297"/>
      <w:bookmarkEnd w:id="298"/>
      <w:bookmarkEnd w:id="299"/>
      <w:bookmarkEnd w:id="300"/>
      <w:bookmarkEnd w:id="301"/>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提高劳动者工作待遇，加强劳动者权益保障，增进劳动者获得感和满意度，让广大劳动者实现体面劳动、全面发展。</w:t>
      </w:r>
      <w:bookmarkStart w:id="302" w:name="_Toc894101288"/>
      <w:bookmarkStart w:id="303" w:name="_Toc1675798642"/>
      <w:bookmarkStart w:id="304" w:name="_Toc1126152146"/>
      <w:bookmarkStart w:id="305" w:name="_Toc1996146578"/>
      <w:bookmarkStart w:id="306" w:name="_Toc721246803"/>
      <w:bookmarkStart w:id="307" w:name="_Toc799255132"/>
      <w:bookmarkStart w:id="308" w:name="_Toc986759530"/>
      <w:bookmarkStart w:id="309" w:name="_Toc756980625"/>
      <w:bookmarkStart w:id="310" w:name="_Toc2129712130"/>
      <w:bookmarkStart w:id="311" w:name="_Toc1532903963"/>
      <w:bookmarkStart w:id="312" w:name="_Toc1790132997"/>
      <w:bookmarkStart w:id="313" w:name="_Toc1853816337"/>
      <w:bookmarkStart w:id="314" w:name="_Toc1038096516"/>
      <w:bookmarkStart w:id="315" w:name="_Toc685976204"/>
      <w:bookmarkStart w:id="316" w:name="_Toc748860565"/>
      <w:bookmarkStart w:id="317" w:name="_Toc867009197"/>
      <w:bookmarkStart w:id="318" w:name="_Toc616574397"/>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楷体" w:hAnsi="楷体" w:eastAsia="楷体" w:cs="楷体"/>
          <w:bCs/>
          <w:color w:val="auto"/>
          <w:kern w:val="44"/>
          <w:sz w:val="32"/>
          <w:szCs w:val="32"/>
          <w:u w:color="000000"/>
        </w:rPr>
        <w:t>（二十九）改善劳动者就业条件</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Fonts w:hint="eastAsia" w:ascii="仿宋" w:hAnsi="仿宋" w:eastAsia="仿宋" w:cs="仿宋"/>
          <w:bCs/>
          <w:color w:val="auto"/>
          <w:kern w:val="44"/>
          <w:sz w:val="32"/>
          <w:szCs w:val="32"/>
          <w:u w:color="000000"/>
        </w:rPr>
        <w:t>。</w:t>
      </w:r>
      <w:r>
        <w:rPr>
          <w:rFonts w:hint="eastAsia" w:ascii="仿宋" w:hAnsi="仿宋" w:eastAsia="仿宋" w:cs="仿宋"/>
          <w:color w:val="auto"/>
          <w:sz w:val="32"/>
          <w:szCs w:val="32"/>
          <w:u w:color="000000"/>
        </w:rPr>
        <w:t>合理增加劳动报酬。坚持按劳分配为主体，多种分配方式并存，提高劳动报酬在初次分配中的比重。健全工资决定、合理增长和支付保障机制，增加劳动者特别是一线劳动者劳动报酬，基本实现劳动报酬与劳动生产率同步提高。完善工资指导线、企业薪酬调查和信息发布制度，健全最低工资标准调整机制，开展薪酬分配指导。积极推行工资集体协商制度。健全劳动、知识、技术、管理等生产要素由市场评价贡献、决定报酬的机制。改革完善体现岗位绩效和分级分类管理的事业单位薪酬制度。深化国有企业工资分配制度改革，建立完善国有企业市场化薪酬分配机制。</w:t>
      </w:r>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营造良好劳动环境。实施工伤预防五年行动计划。建立企业全员安全生产责任制度</w:t>
      </w:r>
      <w:r>
        <w:rPr>
          <w:rFonts w:hint="eastAsia" w:ascii="仿宋" w:hAnsi="仿宋" w:eastAsia="仿宋" w:cs="仿宋"/>
          <w:color w:val="auto"/>
          <w:sz w:val="32"/>
          <w:szCs w:val="32"/>
          <w:u w:color="000000"/>
          <w:lang w:eastAsia="zh-CN"/>
        </w:rPr>
        <w:t>。</w:t>
      </w:r>
      <w:r>
        <w:rPr>
          <w:rFonts w:hint="eastAsia" w:ascii="仿宋" w:hAnsi="仿宋" w:eastAsia="仿宋" w:cs="仿宋"/>
          <w:color w:val="auto"/>
          <w:sz w:val="32"/>
          <w:szCs w:val="32"/>
          <w:u w:color="000000"/>
        </w:rPr>
        <w:t>深入开展安全生产专项整治三年行动，持续加强矿山、冶金、化工等重点行业领域尘毒危害专项治理，坚决遏制重大特大事故发生。推动简单重复的工作环节和“危繁脏重”的工作岗位尽快实现自动化智能化，加快重大安全风险领域“机器换人”。</w:t>
      </w:r>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加强劳动者社会保障。</w:t>
      </w:r>
      <w:r>
        <w:rPr>
          <w:rFonts w:hint="eastAsia" w:ascii="仿宋" w:hAnsi="仿宋" w:eastAsia="仿宋" w:cs="仿宋"/>
          <w:color w:val="auto"/>
          <w:sz w:val="32"/>
          <w:szCs w:val="32"/>
          <w:u w:color="000000"/>
          <w:lang w:eastAsia="zh-CN"/>
        </w:rPr>
        <w:t>构建</w:t>
      </w:r>
      <w:r>
        <w:rPr>
          <w:rFonts w:hint="eastAsia" w:ascii="仿宋" w:hAnsi="仿宋" w:eastAsia="仿宋" w:cs="仿宋"/>
          <w:color w:val="auto"/>
          <w:sz w:val="32"/>
          <w:szCs w:val="32"/>
          <w:u w:color="000000"/>
        </w:rPr>
        <w:t>多层次社会保障体系，持续推进全民参保计划，提高劳动者参保率。加大城镇职工基本养老保险扩面力度，大力发展企业年金、职业年金。</w:t>
      </w:r>
      <w:r>
        <w:rPr>
          <w:rFonts w:hint="eastAsia" w:ascii="仿宋" w:hAnsi="仿宋" w:eastAsia="仿宋" w:cs="仿宋"/>
          <w:color w:val="auto"/>
          <w:sz w:val="32"/>
          <w:szCs w:val="32"/>
          <w:highlight w:val="none"/>
          <w:u w:color="000000"/>
          <w:lang w:eastAsia="zh-CN"/>
        </w:rPr>
        <w:t>建立失业保险省级统筹。推进工伤保险向职业劳动者广覆盖，完善工伤保险省级统筹。</w:t>
      </w:r>
      <w:r>
        <w:rPr>
          <w:rFonts w:hint="eastAsia" w:ascii="仿宋" w:hAnsi="仿宋" w:eastAsia="仿宋" w:cs="仿宋"/>
          <w:color w:val="auto"/>
          <w:sz w:val="32"/>
          <w:szCs w:val="32"/>
          <w:u w:color="000000"/>
        </w:rPr>
        <w:t>推进全国统一的社会保险公共服务平台建设，优化社会保险关系转移接续。</w:t>
      </w:r>
      <w:bookmarkStart w:id="319" w:name="_Toc719992306"/>
      <w:bookmarkStart w:id="320" w:name="_Toc1559721093"/>
      <w:bookmarkStart w:id="321" w:name="_Toc2023866824"/>
      <w:bookmarkStart w:id="322" w:name="_Toc1872955346"/>
      <w:bookmarkStart w:id="323" w:name="_Toc950086101"/>
      <w:bookmarkStart w:id="324" w:name="_Toc2051791155"/>
      <w:bookmarkStart w:id="325" w:name="_Toc543453165"/>
      <w:bookmarkStart w:id="326" w:name="_Toc639540308"/>
      <w:bookmarkStart w:id="327" w:name="_Toc891284806"/>
      <w:bookmarkStart w:id="328" w:name="_Toc204972734"/>
      <w:bookmarkStart w:id="329" w:name="_Toc467989445"/>
      <w:bookmarkStart w:id="330" w:name="_Toc224387011"/>
      <w:bookmarkStart w:id="331" w:name="_Toc893504960"/>
      <w:bookmarkStart w:id="332" w:name="_Toc187214563"/>
      <w:bookmarkStart w:id="333" w:name="_Toc903154792"/>
      <w:bookmarkStart w:id="334" w:name="_Toc431140221"/>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楷体" w:hAnsi="楷体" w:eastAsia="楷体" w:cs="楷体"/>
          <w:bCs/>
          <w:color w:val="auto"/>
          <w:kern w:val="44"/>
          <w:sz w:val="32"/>
          <w:szCs w:val="32"/>
          <w:u w:color="000000"/>
        </w:rPr>
        <w:t>（三十）促进平等就业</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Fonts w:hint="eastAsia" w:ascii="仿宋" w:hAnsi="仿宋" w:eastAsia="仿宋" w:cs="仿宋"/>
          <w:bCs/>
          <w:color w:val="auto"/>
          <w:kern w:val="44"/>
          <w:sz w:val="32"/>
          <w:szCs w:val="32"/>
          <w:u w:color="000000"/>
        </w:rPr>
        <w:t>。</w:t>
      </w:r>
      <w:r>
        <w:rPr>
          <w:rFonts w:hint="eastAsia" w:ascii="仿宋" w:hAnsi="仿宋" w:eastAsia="仿宋" w:cs="仿宋"/>
          <w:color w:val="auto"/>
          <w:sz w:val="32"/>
          <w:szCs w:val="32"/>
          <w:u w:color="000000"/>
        </w:rPr>
        <w:t>畅通劳动力和人才社会性流动渠道</w:t>
      </w:r>
      <w:r>
        <w:rPr>
          <w:rFonts w:hint="eastAsia" w:ascii="仿宋" w:hAnsi="仿宋" w:eastAsia="仿宋" w:cs="仿宋"/>
          <w:color w:val="auto"/>
          <w:sz w:val="32"/>
          <w:szCs w:val="32"/>
          <w:u w:color="000000"/>
          <w:lang w:eastAsia="zh-CN"/>
        </w:rPr>
        <w:t>，大力加强</w:t>
      </w:r>
      <w:r>
        <w:rPr>
          <w:rFonts w:hint="eastAsia" w:ascii="仿宋" w:hAnsi="仿宋" w:eastAsia="仿宋" w:cs="仿宋"/>
          <w:color w:val="auto"/>
          <w:sz w:val="32"/>
          <w:szCs w:val="32"/>
        </w:rPr>
        <w:t>平台经济就业</w:t>
      </w:r>
      <w:r>
        <w:rPr>
          <w:rFonts w:hint="eastAsia" w:ascii="仿宋" w:hAnsi="仿宋" w:eastAsia="仿宋" w:cs="仿宋"/>
          <w:color w:val="auto"/>
          <w:sz w:val="32"/>
          <w:szCs w:val="32"/>
          <w:lang w:eastAsia="zh-CN"/>
        </w:rPr>
        <w:t>人员</w:t>
      </w:r>
      <w:r>
        <w:rPr>
          <w:rFonts w:hint="eastAsia" w:ascii="仿宋" w:hAnsi="仿宋" w:eastAsia="仿宋" w:cs="仿宋"/>
          <w:color w:val="auto"/>
          <w:sz w:val="32"/>
          <w:szCs w:val="32"/>
        </w:rPr>
        <w:t>和新就业形态人员权益保障。</w:t>
      </w:r>
      <w:r>
        <w:rPr>
          <w:rFonts w:hint="eastAsia" w:ascii="仿宋" w:hAnsi="仿宋" w:eastAsia="仿宋" w:cs="仿宋"/>
          <w:color w:val="auto"/>
          <w:sz w:val="32"/>
          <w:szCs w:val="32"/>
          <w:u w:color="000000"/>
        </w:rPr>
        <w:t>深化劳动力要素市场化配置改革，同步推进户籍制度、用人制度、档案服务改革，加快破除妨碍劳动力和人才市场化配置和自由流动的障碍，搭建横向流动桥梁、纵向发展阶梯，形成合理、公正、畅通、有序的社会性流动格局。拓展基层人员发展空间，加大对基层一线人员奖励激励力度。努力消除就业歧视。建立劳动者平等参与市场竞争的就业机制，营造公平的市场环境，逐步消除民族、种族、性别、户籍、身份、残疾、宗教信仰等各类影响平等就业的不合理限制或就业歧视，增强劳动力市场包容性。建立投诉处理机制和联合约谈机制，及时纠正含有歧视内容和不合理限制的招聘行为。健全司法救济机制，依法受理涉及就业歧视的相关起诉，设置平等就业权纠纷案由。</w:t>
      </w:r>
      <w:bookmarkStart w:id="335" w:name="_Toc1827819438"/>
      <w:bookmarkStart w:id="336" w:name="_Toc1680126335"/>
      <w:bookmarkStart w:id="337" w:name="_Toc250736210"/>
      <w:bookmarkStart w:id="338" w:name="_Toc218131794"/>
      <w:bookmarkStart w:id="339" w:name="_Toc358469474"/>
      <w:bookmarkStart w:id="340" w:name="_Toc2009199516"/>
      <w:bookmarkStart w:id="341" w:name="_Toc1465146659"/>
      <w:bookmarkStart w:id="342" w:name="_Toc1747217779"/>
      <w:bookmarkStart w:id="343" w:name="_Toc29041992"/>
      <w:bookmarkStart w:id="344" w:name="_Toc659454368"/>
      <w:bookmarkStart w:id="345" w:name="_Toc734331923"/>
      <w:bookmarkStart w:id="346" w:name="_Toc1131633302"/>
      <w:bookmarkStart w:id="347" w:name="_Toc154001410"/>
      <w:bookmarkStart w:id="348" w:name="_Toc579507991"/>
      <w:bookmarkStart w:id="349" w:name="_Toc1494082226"/>
      <w:bookmarkStart w:id="350" w:name="_Toc542425009"/>
      <w:bookmarkStart w:id="351" w:name="_Toc860943260"/>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b w:val="0"/>
          <w:bCs/>
          <w:color w:val="auto"/>
          <w:sz w:val="32"/>
          <w:szCs w:val="32"/>
        </w:rPr>
      </w:pPr>
      <w:r>
        <w:rPr>
          <w:rFonts w:hint="eastAsia" w:ascii="楷体" w:hAnsi="楷体" w:eastAsia="楷体" w:cs="楷体"/>
          <w:bCs/>
          <w:color w:val="auto"/>
          <w:kern w:val="44"/>
          <w:sz w:val="32"/>
          <w:szCs w:val="32"/>
          <w:u w:color="000000"/>
        </w:rPr>
        <w:t>（三十一）维护</w:t>
      </w:r>
      <w:bookmarkEnd w:id="335"/>
      <w:bookmarkEnd w:id="336"/>
      <w:bookmarkEnd w:id="337"/>
      <w:r>
        <w:rPr>
          <w:rFonts w:hint="eastAsia" w:ascii="楷体" w:hAnsi="楷体" w:eastAsia="楷体" w:cs="楷体"/>
          <w:bCs/>
          <w:color w:val="auto"/>
          <w:kern w:val="44"/>
          <w:sz w:val="32"/>
          <w:szCs w:val="32"/>
          <w:u w:color="000000"/>
        </w:rPr>
        <w:t>劳动者合法权益</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Fonts w:hint="eastAsia" w:ascii="仿宋" w:hAnsi="仿宋" w:eastAsia="仿宋" w:cs="仿宋"/>
          <w:bCs/>
          <w:color w:val="auto"/>
          <w:kern w:val="44"/>
          <w:sz w:val="32"/>
          <w:szCs w:val="32"/>
          <w:u w:color="000000"/>
        </w:rPr>
        <w:t>。</w:t>
      </w:r>
      <w:r>
        <w:rPr>
          <w:rFonts w:hint="eastAsia" w:ascii="仿宋" w:hAnsi="仿宋" w:eastAsia="仿宋" w:cs="仿宋"/>
          <w:color w:val="auto"/>
          <w:sz w:val="32"/>
          <w:szCs w:val="32"/>
          <w:u w:color="000000"/>
        </w:rPr>
        <w:t>扎实做好劳动权益保障。开展清理整顿人力资源市场秩序专项行动，依法查处招聘过程中的虚假、欺诈现象，强化劳务派遣用工监管。健全劳动合同制度。加强对劳动密集型行业、中小微企业劳动用工指导。督促企业依法落实工时制度，保障劳动者休息休假权益。完善欠薪治理长效机制，</w:t>
      </w:r>
      <w:r>
        <w:rPr>
          <w:rFonts w:hint="eastAsia" w:ascii="仿宋" w:hAnsi="仿宋" w:eastAsia="仿宋" w:cs="仿宋"/>
          <w:color w:val="auto"/>
          <w:sz w:val="32"/>
          <w:szCs w:val="32"/>
          <w:u w:color="000000"/>
          <w:lang w:eastAsia="zh-CN"/>
        </w:rPr>
        <w:t>持续开展根治欠薪专项整治行动，有力</w:t>
      </w:r>
      <w:r>
        <w:rPr>
          <w:rFonts w:hint="eastAsia" w:ascii="仿宋" w:hAnsi="仿宋" w:eastAsia="仿宋" w:cs="仿宋"/>
          <w:color w:val="auto"/>
          <w:sz w:val="32"/>
          <w:szCs w:val="32"/>
          <w:u w:color="000000"/>
        </w:rPr>
        <w:t>推进根治拖欠农民工工资工作。推进智慧劳动保障监察系统建设，强化大数据分析能力和监控预警功能，提高执法效能。</w:t>
      </w:r>
      <w:r>
        <w:rPr>
          <w:rFonts w:hint="eastAsia" w:ascii="仿宋" w:hAnsi="仿宋" w:eastAsia="仿宋" w:cs="仿宋"/>
          <w:color w:val="auto"/>
          <w:sz w:val="32"/>
          <w:szCs w:val="32"/>
          <w:u w:color="000000"/>
          <w:lang w:eastAsia="zh-CN"/>
        </w:rPr>
        <w:t>健全完善劳动保障监察省际协作机制，切实维护我省外出务工农民工的劳动报酬权益。</w:t>
      </w:r>
      <w:r>
        <w:rPr>
          <w:rFonts w:hint="eastAsia" w:ascii="仿宋" w:hAnsi="仿宋" w:eastAsia="仿宋" w:cs="仿宋"/>
          <w:color w:val="auto"/>
          <w:sz w:val="32"/>
          <w:szCs w:val="32"/>
          <w:u w:color="000000"/>
        </w:rPr>
        <w:t>构建和谐劳动关系。健全政府、工会、企业代表组织共同参与的协商协调机制。推动企业建立多种形式的民主参与、民主监督、民主决策新机制，提升企业与劳动者沟通协商的制度化程度。完善以职工代表大会为主要形式的企业民主管理制度，引导中小企业依法成立工会组织，在中小企业集中的地方推动建立区域性、行业性职工代表大会。推进集体协商制度，巩固提高集体协商覆盖面和实效性。深入实施劳动关系“和谐同行”能力提升三年行动计划，开展和谐劳动关系创建活动。加强劳动关系形势分析和风险监测预警。</w:t>
      </w:r>
      <w:r>
        <w:rPr>
          <w:rFonts w:hint="eastAsia" w:ascii="仿宋" w:hAnsi="仿宋" w:eastAsia="仿宋" w:cs="仿宋"/>
          <w:color w:val="auto"/>
          <w:sz w:val="32"/>
          <w:szCs w:val="32"/>
          <w:u w:color="000000"/>
          <w:lang w:eastAsia="zh-CN"/>
        </w:rPr>
        <w:t>完善</w:t>
      </w:r>
      <w:r>
        <w:rPr>
          <w:rFonts w:hint="eastAsia" w:ascii="仿宋" w:hAnsi="仿宋" w:eastAsia="仿宋" w:cs="仿宋"/>
          <w:color w:val="auto"/>
          <w:sz w:val="32"/>
          <w:szCs w:val="32"/>
          <w:u w:color="000000"/>
        </w:rPr>
        <w:t>劳动人事争议调解仲裁</w:t>
      </w:r>
      <w:r>
        <w:rPr>
          <w:rFonts w:hint="eastAsia" w:ascii="仿宋" w:hAnsi="仿宋" w:eastAsia="仿宋" w:cs="仿宋"/>
          <w:color w:val="auto"/>
          <w:sz w:val="32"/>
          <w:szCs w:val="32"/>
          <w:u w:color="000000"/>
          <w:lang w:eastAsia="zh-CN"/>
        </w:rPr>
        <w:t>制度</w:t>
      </w:r>
      <w:r>
        <w:rPr>
          <w:rFonts w:hint="eastAsia" w:ascii="仿宋" w:hAnsi="仿宋" w:eastAsia="仿宋" w:cs="仿宋"/>
          <w:color w:val="auto"/>
          <w:sz w:val="32"/>
          <w:szCs w:val="32"/>
          <w:u w:color="000000"/>
        </w:rPr>
        <w:t>，突出调解仲裁队伍建设，推进“互联网+调解仲裁”。</w:t>
      </w:r>
      <w:bookmarkStart w:id="352" w:name="_Toc504637858"/>
      <w:bookmarkStart w:id="353" w:name="_Toc2004220258"/>
      <w:bookmarkStart w:id="354" w:name="_Toc538725891"/>
      <w:bookmarkStart w:id="355" w:name="_Toc1290101427"/>
      <w:bookmarkStart w:id="356" w:name="_Toc584391397"/>
      <w:bookmarkStart w:id="357" w:name="_Toc780608959"/>
      <w:bookmarkStart w:id="358" w:name="_Toc1727984716"/>
      <w:bookmarkStart w:id="359" w:name="_Toc1873911618"/>
      <w:bookmarkStart w:id="360" w:name="_Toc2085641502"/>
      <w:bookmarkStart w:id="361" w:name="_Toc150305248"/>
      <w:bookmarkStart w:id="362" w:name="_Toc434174358"/>
      <w:bookmarkStart w:id="363" w:name="_Toc714185715"/>
      <w:bookmarkStart w:id="364" w:name="_Toc1443973607"/>
      <w:bookmarkStart w:id="365" w:name="_Toc897369763"/>
      <w:bookmarkStart w:id="366" w:name="_Toc1772923667"/>
      <w:bookmarkStart w:id="367" w:name="_Toc1047085364"/>
      <w:bookmarkStart w:id="368" w:name="_Toc1316690219"/>
    </w:p>
    <w:p>
      <w:pPr>
        <w:pStyle w:val="4"/>
        <w:pageBreakBefore w:val="0"/>
        <w:kinsoku/>
        <w:wordWrap/>
        <w:topLinePunct w:val="0"/>
        <w:autoSpaceDE/>
        <w:autoSpaceDN/>
        <w:bidi w:val="0"/>
        <w:spacing w:before="0" w:after="0"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九、妥善应对潜在影响 防范化解</w:t>
      </w:r>
      <w:bookmarkEnd w:id="352"/>
      <w:bookmarkEnd w:id="353"/>
      <w:bookmarkEnd w:id="354"/>
      <w:r>
        <w:rPr>
          <w:rFonts w:hint="eastAsia" w:ascii="黑体" w:hAnsi="黑体" w:eastAsia="黑体" w:cs="黑体"/>
          <w:b w:val="0"/>
          <w:bCs/>
          <w:color w:val="auto"/>
          <w:sz w:val="32"/>
          <w:szCs w:val="32"/>
        </w:rPr>
        <w:t>规模性</w:t>
      </w:r>
      <w:bookmarkEnd w:id="355"/>
      <w:bookmarkEnd w:id="356"/>
      <w:r>
        <w:rPr>
          <w:rFonts w:hint="eastAsia" w:ascii="黑体" w:hAnsi="黑体" w:eastAsia="黑体" w:cs="黑体"/>
          <w:b w:val="0"/>
          <w:bCs/>
          <w:color w:val="auto"/>
          <w:sz w:val="32"/>
          <w:szCs w:val="32"/>
        </w:rPr>
        <w:t>失业风险</w:t>
      </w:r>
      <w:bookmarkEnd w:id="357"/>
      <w:bookmarkEnd w:id="358"/>
      <w:bookmarkEnd w:id="359"/>
      <w:bookmarkEnd w:id="360"/>
      <w:bookmarkEnd w:id="361"/>
      <w:bookmarkEnd w:id="362"/>
      <w:bookmarkEnd w:id="363"/>
      <w:bookmarkEnd w:id="364"/>
      <w:bookmarkEnd w:id="365"/>
      <w:bookmarkEnd w:id="366"/>
      <w:bookmarkEnd w:id="367"/>
      <w:bookmarkEnd w:id="368"/>
    </w:p>
    <w:p>
      <w:pPr>
        <w:pStyle w:val="2"/>
        <w:pageBreakBefore w:val="0"/>
        <w:kinsoku/>
        <w:wordWrap/>
        <w:topLinePunct w:val="0"/>
        <w:autoSpaceDE/>
        <w:autoSpaceDN/>
        <w:bidi w:val="0"/>
        <w:spacing w:after="0"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加强风险监测预警和应对处置，及时制定完善应对重大公共安全、卫生等事件的稳就业预案，切实做好失业保障。</w:t>
      </w:r>
    </w:p>
    <w:p>
      <w:pPr>
        <w:pStyle w:val="5"/>
        <w:keepNext w:val="0"/>
        <w:keepLines w:val="0"/>
        <w:pageBreakBefore w:val="0"/>
        <w:kinsoku/>
        <w:wordWrap/>
        <w:topLinePunct w:val="0"/>
        <w:autoSpaceDE/>
        <w:autoSpaceDN/>
        <w:bidi w:val="0"/>
        <w:spacing w:before="0" w:after="0" w:line="600" w:lineRule="exact"/>
        <w:ind w:firstLine="640" w:firstLineChars="200"/>
        <w:textAlignment w:val="auto"/>
        <w:rPr>
          <w:rFonts w:hint="eastAsia" w:ascii="仿宋" w:hAnsi="仿宋" w:eastAsia="仿宋" w:cs="仿宋"/>
          <w:b w:val="0"/>
          <w:color w:val="auto"/>
        </w:rPr>
      </w:pPr>
      <w:bookmarkStart w:id="369" w:name="_Toc1956444486"/>
      <w:bookmarkStart w:id="370" w:name="_Toc1133817237"/>
      <w:bookmarkStart w:id="371" w:name="_Toc1193016694"/>
      <w:bookmarkStart w:id="372" w:name="_Toc1092965372"/>
      <w:bookmarkStart w:id="373" w:name="_Toc1309945767"/>
      <w:bookmarkStart w:id="374" w:name="_Toc331272509"/>
      <w:bookmarkStart w:id="375" w:name="_Toc823480736"/>
      <w:bookmarkStart w:id="376" w:name="_Toc575556247"/>
      <w:bookmarkStart w:id="377" w:name="_Toc1804945311"/>
      <w:bookmarkStart w:id="378" w:name="_Toc625016081"/>
      <w:bookmarkStart w:id="379" w:name="_Toc571043837"/>
      <w:bookmarkStart w:id="380" w:name="_Toc1692233290"/>
      <w:bookmarkStart w:id="381" w:name="_Toc1487285673"/>
      <w:bookmarkStart w:id="382" w:name="_Toc1552469585"/>
      <w:bookmarkStart w:id="383" w:name="_Toc649867908"/>
      <w:bookmarkStart w:id="384" w:name="_Toc445727369"/>
      <w:bookmarkStart w:id="385" w:name="_Toc576959511"/>
      <w:r>
        <w:rPr>
          <w:rFonts w:hint="eastAsia" w:ascii="楷体" w:hAnsi="楷体" w:eastAsia="楷体" w:cs="楷体"/>
          <w:b w:val="0"/>
          <w:bCs/>
          <w:color w:val="auto"/>
          <w:kern w:val="44"/>
          <w:u w:color="000000"/>
        </w:rPr>
        <w:t>（三十二）健全监测预警机制</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Fonts w:hint="eastAsia" w:ascii="仿宋" w:hAnsi="仿宋" w:eastAsia="仿宋" w:cs="仿宋"/>
          <w:b w:val="0"/>
          <w:bCs/>
          <w:color w:val="auto"/>
          <w:kern w:val="44"/>
          <w:u w:color="000000"/>
        </w:rPr>
        <w:t>。</w:t>
      </w:r>
      <w:r>
        <w:rPr>
          <w:rFonts w:hint="eastAsia" w:ascii="仿宋" w:hAnsi="仿宋" w:eastAsia="仿宋" w:cs="仿宋"/>
          <w:b w:val="0"/>
          <w:color w:val="auto"/>
          <w:kern w:val="2"/>
          <w:u w:color="000000"/>
        </w:rPr>
        <w:t>完善就业失业统计监测调查体系。加快构建系统完备、立体化的就业监测网络，健全失业动态监测机制，密切关注重点地区、重点城市、重点行业岗位变化情况，</w:t>
      </w:r>
      <w:r>
        <w:rPr>
          <w:rFonts w:hint="eastAsia" w:ascii="仿宋" w:hAnsi="仿宋" w:eastAsia="仿宋" w:cs="仿宋"/>
          <w:b w:val="0"/>
          <w:color w:val="auto"/>
          <w:kern w:val="2"/>
          <w:u w:color="000000"/>
          <w:lang w:eastAsia="zh-CN"/>
        </w:rPr>
        <w:t>特别是</w:t>
      </w:r>
      <w:r>
        <w:rPr>
          <w:rFonts w:hint="eastAsia" w:ascii="仿宋" w:hAnsi="仿宋" w:eastAsia="仿宋" w:cs="仿宋"/>
          <w:b w:val="0"/>
          <w:bCs/>
          <w:color w:val="auto"/>
          <w:sz w:val="32"/>
          <w:szCs w:val="32"/>
          <w:u w:color="000000"/>
          <w:lang w:eastAsia="zh-CN"/>
        </w:rPr>
        <w:t>高耗能、高污染“两高</w:t>
      </w:r>
      <w:r>
        <w:rPr>
          <w:rFonts w:hint="default" w:ascii="仿宋" w:hAnsi="仿宋" w:eastAsia="仿宋" w:cs="仿宋"/>
          <w:b w:val="0"/>
          <w:bCs/>
          <w:color w:val="auto"/>
          <w:sz w:val="32"/>
          <w:szCs w:val="32"/>
          <w:u w:color="000000"/>
          <w:lang w:val="en-US" w:eastAsia="zh-CN"/>
        </w:rPr>
        <w:t>”</w:t>
      </w:r>
      <w:r>
        <w:rPr>
          <w:rFonts w:hint="eastAsia" w:ascii="仿宋" w:hAnsi="仿宋" w:eastAsia="仿宋" w:cs="仿宋"/>
          <w:b w:val="0"/>
          <w:bCs/>
          <w:color w:val="auto"/>
          <w:sz w:val="32"/>
          <w:szCs w:val="32"/>
          <w:u w:color="000000"/>
          <w:lang w:val="en-US" w:eastAsia="zh-CN"/>
        </w:rPr>
        <w:t>企业裁员及义务教育“双减”失业人员情况，</w:t>
      </w:r>
      <w:r>
        <w:rPr>
          <w:rFonts w:hint="eastAsia" w:ascii="仿宋" w:hAnsi="仿宋" w:eastAsia="仿宋" w:cs="仿宋"/>
          <w:b w:val="0"/>
          <w:bCs/>
          <w:color w:val="auto"/>
          <w:kern w:val="2"/>
          <w:u w:color="000000"/>
        </w:rPr>
        <w:t>全</w:t>
      </w:r>
      <w:r>
        <w:rPr>
          <w:rFonts w:hint="eastAsia" w:ascii="仿宋" w:hAnsi="仿宋" w:eastAsia="仿宋" w:cs="仿宋"/>
          <w:b w:val="0"/>
          <w:color w:val="auto"/>
          <w:kern w:val="2"/>
          <w:u w:color="000000"/>
        </w:rPr>
        <w:t>面监测就业增长、失业水平、市场供求状况。完善就业统计指标体系和调查统计方法，探索进行就业质量、就业稳定性等方面的分析。推进大数据在就业统计监测领域的应用，及时掌握劳动力流动趋势。</w:t>
      </w:r>
    </w:p>
    <w:tbl>
      <w:tblPr>
        <w:tblStyle w:val="12"/>
        <w:tblW w:w="9072" w:type="dxa"/>
        <w:jc w:val="center"/>
        <w:tblInd w:w="0" w:type="dxa"/>
        <w:tblLayout w:type="fixed"/>
        <w:tblCellMar>
          <w:top w:w="0" w:type="dxa"/>
          <w:left w:w="0" w:type="dxa"/>
          <w:bottom w:w="0" w:type="dxa"/>
          <w:right w:w="0" w:type="dxa"/>
        </w:tblCellMar>
      </w:tblPr>
      <w:tblGrid>
        <w:gridCol w:w="9072"/>
      </w:tblGrid>
      <w:tr>
        <w:tblPrEx>
          <w:tblLayout w:type="fixed"/>
          <w:tblCellMar>
            <w:top w:w="0" w:type="dxa"/>
            <w:left w:w="0" w:type="dxa"/>
            <w:bottom w:w="0" w:type="dxa"/>
            <w:right w:w="0" w:type="dxa"/>
          </w:tblCellMar>
        </w:tblPrEx>
        <w:trPr>
          <w:trHeight w:val="558" w:hRule="atLeast"/>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pacing w:line="400" w:lineRule="exact"/>
              <w:jc w:val="center"/>
              <w:textAlignment w:val="auto"/>
              <w:rPr>
                <w:rFonts w:hint="eastAsia" w:ascii="仿宋" w:hAnsi="仿宋" w:eastAsia="仿宋" w:cs="仿宋"/>
                <w:b/>
                <w:color w:val="auto"/>
                <w:kern w:val="0"/>
                <w:sz w:val="28"/>
                <w:szCs w:val="28"/>
              </w:rPr>
            </w:pPr>
            <w:r>
              <w:rPr>
                <w:rFonts w:hint="eastAsia" w:ascii="仿宋" w:hAnsi="仿宋" w:eastAsia="仿宋" w:cs="仿宋"/>
                <w:b/>
                <w:color w:val="auto"/>
                <w:kern w:val="0"/>
                <w:sz w:val="28"/>
                <w:szCs w:val="28"/>
              </w:rPr>
              <w:t>专栏</w:t>
            </w:r>
            <w:r>
              <w:rPr>
                <w:rFonts w:hint="eastAsia" w:ascii="仿宋" w:hAnsi="仿宋" w:eastAsia="仿宋" w:cs="仿宋"/>
                <w:b/>
                <w:color w:val="auto"/>
                <w:kern w:val="0"/>
                <w:sz w:val="28"/>
                <w:szCs w:val="28"/>
                <w:lang w:val="en-US" w:eastAsia="zh-CN"/>
              </w:rPr>
              <w:t>17</w:t>
            </w:r>
            <w:r>
              <w:rPr>
                <w:rFonts w:hint="eastAsia" w:ascii="仿宋" w:hAnsi="仿宋" w:eastAsia="仿宋" w:cs="仿宋"/>
                <w:b/>
                <w:color w:val="auto"/>
                <w:kern w:val="0"/>
                <w:sz w:val="28"/>
                <w:szCs w:val="28"/>
              </w:rPr>
              <w:t>：实施就业失业统计监测调查能力提升计划</w:t>
            </w:r>
          </w:p>
        </w:tc>
      </w:tr>
      <w:tr>
        <w:tblPrEx>
          <w:tblLayout w:type="fixed"/>
          <w:tblCellMar>
            <w:top w:w="0" w:type="dxa"/>
            <w:left w:w="0" w:type="dxa"/>
            <w:bottom w:w="0" w:type="dxa"/>
            <w:right w:w="0" w:type="dxa"/>
          </w:tblCellMar>
        </w:tblPrEx>
        <w:trPr>
          <w:jc w:val="center"/>
        </w:trPr>
        <w:tc>
          <w:tcPr>
            <w:tcW w:w="9072"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keepNext w:val="0"/>
              <w:keepLines w:val="0"/>
              <w:pageBreakBefore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1.完善全省劳动力资源信息库。</w:t>
            </w:r>
            <w:r>
              <w:rPr>
                <w:rFonts w:hint="eastAsia" w:ascii="仿宋" w:hAnsi="仿宋" w:eastAsia="仿宋" w:cs="仿宋"/>
                <w:color w:val="auto"/>
                <w:sz w:val="24"/>
                <w:szCs w:val="24"/>
              </w:rPr>
              <w:t>健全跨地区、跨部门数据共享和业务协同机制，将全省劳动力资源信息采集入库，加强与社会保险、劳动关系、人口信息之间的数据比对联动，实现信息动态更新。</w:t>
            </w:r>
          </w:p>
          <w:p>
            <w:pPr>
              <w:keepNext w:val="0"/>
              <w:keepLines w:val="0"/>
              <w:pageBreakBefore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2.构建广覆盖的监测网络。</w:t>
            </w:r>
            <w:r>
              <w:rPr>
                <w:rFonts w:hint="eastAsia" w:ascii="仿宋" w:hAnsi="仿宋" w:eastAsia="仿宋" w:cs="仿宋"/>
                <w:color w:val="auto"/>
                <w:sz w:val="24"/>
                <w:szCs w:val="24"/>
              </w:rPr>
              <w:t>加强移动通信、网络招聘、工业用电、企业征信等大数据应用，健全就业大数据监测系统。选取一批有代表性的县区，建立定点下沉、信息直报的监测点联络制度，跟踪监测经济运行、就业失业、工资收入、劳动者流动等变化。</w:t>
            </w:r>
          </w:p>
          <w:p>
            <w:pPr>
              <w:keepNext w:val="0"/>
              <w:keepLines w:val="0"/>
              <w:pageBreakBefore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3.完善劳动力调查制度。</w:t>
            </w:r>
            <w:r>
              <w:rPr>
                <w:rFonts w:hint="eastAsia" w:ascii="仿宋" w:hAnsi="仿宋" w:eastAsia="仿宋" w:cs="仿宋"/>
                <w:color w:val="auto"/>
                <w:sz w:val="24"/>
                <w:szCs w:val="24"/>
              </w:rPr>
              <w:t>扩大劳动力调查样本，做好</w:t>
            </w:r>
            <w:r>
              <w:rPr>
                <w:rFonts w:hint="eastAsia" w:ascii="仿宋" w:hAnsi="仿宋" w:eastAsia="仿宋" w:cs="仿宋"/>
                <w:color w:val="auto"/>
                <w:sz w:val="24"/>
                <w:szCs w:val="24"/>
                <w:lang w:eastAsia="zh-CN"/>
              </w:rPr>
              <w:t>全省</w:t>
            </w:r>
            <w:r>
              <w:rPr>
                <w:rFonts w:hint="eastAsia" w:ascii="仿宋" w:hAnsi="仿宋" w:eastAsia="仿宋" w:cs="仿宋"/>
                <w:color w:val="auto"/>
                <w:sz w:val="24"/>
                <w:szCs w:val="24"/>
              </w:rPr>
              <w:t>调查失业率统计工作，加强劳动力调查数据的分析研究。</w:t>
            </w:r>
          </w:p>
          <w:p>
            <w:pPr>
              <w:keepNext w:val="0"/>
              <w:keepLines w:val="0"/>
              <w:pageBreakBefore w:val="0"/>
              <w:kinsoku/>
              <w:wordWrap/>
              <w:overflowPunct/>
              <w:topLinePunct w:val="0"/>
              <w:autoSpaceDE/>
              <w:autoSpaceDN/>
              <w:bidi w:val="0"/>
              <w:adjustRightInd/>
              <w:snapToGrid w:val="0"/>
              <w:spacing w:line="400" w:lineRule="exact"/>
              <w:ind w:firstLine="482" w:firstLineChars="200"/>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4.建立就业岗位调查制度。</w:t>
            </w:r>
            <w:r>
              <w:rPr>
                <w:rFonts w:hint="eastAsia" w:ascii="仿宋" w:hAnsi="仿宋" w:eastAsia="仿宋" w:cs="仿宋"/>
                <w:color w:val="auto"/>
                <w:sz w:val="24"/>
                <w:szCs w:val="24"/>
              </w:rPr>
              <w:t>开展就业岗位调查试点，按月调查各类用工主体岗位空缺和用工需求，细分区域、行业等情况，逐步建成就业岗位调查制度。</w:t>
            </w:r>
          </w:p>
          <w:p>
            <w:pPr>
              <w:keepNext w:val="0"/>
              <w:keepLines w:val="0"/>
              <w:pageBreakBefore w:val="0"/>
              <w:kinsoku/>
              <w:wordWrap/>
              <w:overflowPunct/>
              <w:topLinePunct w:val="0"/>
              <w:autoSpaceDE/>
              <w:autoSpaceDN/>
              <w:bidi w:val="0"/>
              <w:adjustRightInd/>
              <w:snapToGrid w:val="0"/>
              <w:spacing w:line="400" w:lineRule="exact"/>
              <w:ind w:firstLine="482" w:firstLineChars="200"/>
              <w:textAlignment w:val="auto"/>
              <w:rPr>
                <w:rFonts w:hint="eastAsia"/>
                <w:color w:val="auto"/>
              </w:rPr>
            </w:pPr>
            <w:r>
              <w:rPr>
                <w:rFonts w:hint="eastAsia" w:ascii="仿宋" w:hAnsi="仿宋" w:eastAsia="仿宋" w:cs="仿宋"/>
                <w:b/>
                <w:bCs/>
                <w:color w:val="auto"/>
                <w:sz w:val="24"/>
                <w:szCs w:val="24"/>
                <w:lang w:val="en-US" w:eastAsia="zh-CN"/>
              </w:rPr>
              <w:t>5.探索建立就业形势集中分析研判机制。</w:t>
            </w:r>
            <w:r>
              <w:rPr>
                <w:rFonts w:hint="eastAsia" w:ascii="仿宋" w:hAnsi="仿宋" w:eastAsia="仿宋" w:cs="仿宋"/>
                <w:color w:val="auto"/>
                <w:sz w:val="24"/>
                <w:szCs w:val="24"/>
                <w:lang w:val="en-US" w:eastAsia="zh-CN"/>
              </w:rPr>
              <w:t>积极争取资金，引入第三方服务，推动建立各类机构、人员联合参与的就业形势专业分析队伍,在定期汇总各类调查数据资源的基础上，加强数据挖掘、信息利用和相关体系建设,提升就业失业监测数据分析和就业形势综合研判能力。</w:t>
            </w:r>
          </w:p>
        </w:tc>
      </w:tr>
    </w:tbl>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仿宋" w:hAnsi="仿宋" w:eastAsia="仿宋" w:cs="仿宋"/>
          <w:color w:val="auto"/>
          <w:sz w:val="32"/>
          <w:szCs w:val="32"/>
          <w:u w:color="000000"/>
        </w:rPr>
        <w:t>增强风险预警预判能力。健全就业形势科学研判机制，建立“政府+高校+企业”的就业联合实验室，组建专业分析团队，开展就业重大问题研究，提升形势感知、分析研判和科学决策水平。完善企业规模裁员减员及突发事件报告制度，加强风险评估，适时发布失业预警信息。推动县级以上政府进一步完善失业风险预警制度。</w:t>
      </w:r>
      <w:bookmarkStart w:id="386" w:name="_Toc416520358"/>
      <w:bookmarkStart w:id="387" w:name="_Toc203756151"/>
      <w:bookmarkStart w:id="388" w:name="_Toc1602026660"/>
      <w:bookmarkStart w:id="389" w:name="_Toc1124041372"/>
      <w:bookmarkStart w:id="390" w:name="_Toc1742686571"/>
      <w:bookmarkStart w:id="391" w:name="_Toc1915584826"/>
      <w:bookmarkStart w:id="392" w:name="_Toc538364819"/>
      <w:bookmarkStart w:id="393" w:name="_Toc1790496709"/>
      <w:bookmarkStart w:id="394" w:name="_Toc1638272858"/>
      <w:bookmarkStart w:id="395" w:name="_Toc115979408"/>
      <w:bookmarkStart w:id="396" w:name="_Toc1734587934"/>
      <w:bookmarkStart w:id="397" w:name="_Toc3609950"/>
      <w:bookmarkStart w:id="398" w:name="_Toc357621676"/>
      <w:bookmarkStart w:id="399" w:name="_Toc1276408036"/>
      <w:bookmarkStart w:id="400" w:name="_Toc534605394"/>
      <w:bookmarkStart w:id="401" w:name="_Toc1383159218"/>
      <w:bookmarkStart w:id="402" w:name="_Toc1599031904"/>
    </w:p>
    <w:p>
      <w:pPr>
        <w:pageBreakBefore w:val="0"/>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楷体" w:hAnsi="楷体" w:eastAsia="楷体" w:cs="楷体"/>
          <w:b w:val="0"/>
          <w:bCs/>
          <w:color w:val="auto"/>
          <w:kern w:val="44"/>
          <w:sz w:val="32"/>
          <w:szCs w:val="20"/>
          <w:u w:color="000000"/>
          <w:lang w:val="en-US" w:eastAsia="zh-CN" w:bidi="ar-SA"/>
        </w:rPr>
        <w:t>（三十三）全面强化风险应对</w:t>
      </w:r>
      <w:bookmarkEnd w:id="386"/>
      <w:bookmarkEnd w:id="387"/>
      <w:bookmarkEnd w:id="388"/>
      <w:bookmarkEnd w:id="389"/>
      <w:bookmarkEnd w:id="390"/>
      <w:bookmarkEnd w:id="391"/>
      <w:bookmarkEnd w:id="392"/>
      <w:bookmarkEnd w:id="393"/>
      <w:bookmarkEnd w:id="394"/>
      <w:bookmarkEnd w:id="395"/>
      <w:r>
        <w:rPr>
          <w:rFonts w:hint="eastAsia" w:ascii="楷体" w:hAnsi="楷体" w:eastAsia="楷体" w:cs="楷体"/>
          <w:b w:val="0"/>
          <w:bCs/>
          <w:color w:val="auto"/>
          <w:kern w:val="44"/>
          <w:sz w:val="32"/>
          <w:szCs w:val="20"/>
          <w:u w:color="000000"/>
          <w:lang w:val="en-US" w:eastAsia="zh-CN" w:bidi="ar-SA"/>
        </w:rPr>
        <w:t>处置</w:t>
      </w:r>
      <w:bookmarkEnd w:id="396"/>
      <w:bookmarkEnd w:id="397"/>
      <w:bookmarkEnd w:id="398"/>
      <w:bookmarkEnd w:id="399"/>
      <w:bookmarkEnd w:id="400"/>
      <w:bookmarkEnd w:id="401"/>
      <w:bookmarkEnd w:id="402"/>
      <w:r>
        <w:rPr>
          <w:rFonts w:hint="eastAsia" w:ascii="仿宋" w:hAnsi="仿宋" w:eastAsia="仿宋" w:cs="仿宋"/>
          <w:bCs/>
          <w:color w:val="auto"/>
          <w:sz w:val="32"/>
          <w:szCs w:val="32"/>
        </w:rPr>
        <w:t>。</w:t>
      </w:r>
      <w:r>
        <w:rPr>
          <w:rFonts w:hint="eastAsia" w:ascii="仿宋" w:hAnsi="仿宋" w:eastAsia="仿宋" w:cs="仿宋"/>
          <w:color w:val="auto"/>
          <w:sz w:val="32"/>
          <w:szCs w:val="32"/>
          <w:u w:color="000000"/>
        </w:rPr>
        <w:t>健全风险应对处置机制。制定分级政策储备和风险应对预案制度。加强规模性失业风险应急处置，有条件的地方可设立就业风险储备金。允许困难企业在与职工协商一致基础上，采取依法调整工作时间安排、协商薪酬等办法共渡时艰。指导企业依法依规裁员。完善失业保障体系。进一步畅通申领渠道，提高政策受益率。用好用活失业保险促进企业稳岗、支持参保职工技能提升等政策，提高失业保险基金使用效率，充分发挥保生活基本功能作用，有效发挥防失业、促就业功能作用。畅通失业人员求助渠道，建立失业人员常态化帮扶机制，实现失业登记、职业指导、职业介绍、职业培训、生活保障联动。积极应对人工智能等智能化技术应用对就业的影响。建立人工智能等智能化技术应用对就业影响的跟踪研判和协同应对机制，避免其就业替代效应短期内集中释放。构建不同行业、不同业态间的转岗机制，加快劳动者知识和技能更新速度，广泛开展人工智能等智能化技术应用适应性、储备性培训，提升人工智能等智能化技术通用技能，充分放大其就业创造效应。</w:t>
      </w:r>
      <w:bookmarkStart w:id="403" w:name="_Toc1850858675"/>
      <w:bookmarkStart w:id="404" w:name="_Toc31045410"/>
      <w:bookmarkStart w:id="405" w:name="_Toc2140433333"/>
      <w:bookmarkStart w:id="406" w:name="_Toc753686231"/>
      <w:bookmarkStart w:id="407" w:name="_Toc2001528304"/>
      <w:bookmarkStart w:id="408" w:name="_Toc1679858855"/>
      <w:bookmarkStart w:id="409" w:name="_Toc1952072168"/>
      <w:bookmarkStart w:id="410" w:name="_Toc1523222486"/>
      <w:bookmarkStart w:id="411" w:name="_Toc745350706"/>
      <w:bookmarkStart w:id="412" w:name="_Toc1164912191"/>
      <w:bookmarkStart w:id="413" w:name="_Toc1463850926"/>
      <w:bookmarkStart w:id="414" w:name="_Toc216399357"/>
      <w:bookmarkStart w:id="415" w:name="_Toc1778985486"/>
      <w:bookmarkStart w:id="416" w:name="_Toc2042376570"/>
      <w:bookmarkStart w:id="417" w:name="_Toc1507447697"/>
      <w:bookmarkStart w:id="418" w:name="_Toc1060756693"/>
      <w:bookmarkStart w:id="419" w:name="_Toc545035423"/>
    </w:p>
    <w:p>
      <w:pPr>
        <w:pageBreakBefore w:val="0"/>
        <w:numPr>
          <w:ilvl w:val="0"/>
          <w:numId w:val="0"/>
        </w:numPr>
        <w:kinsoku/>
        <w:wordWrap/>
        <w:topLinePunct w:val="0"/>
        <w:autoSpaceDE/>
        <w:autoSpaceDN/>
        <w:bidi w:val="0"/>
        <w:spacing w:line="600" w:lineRule="exact"/>
        <w:ind w:firstLine="640" w:firstLineChars="200"/>
        <w:textAlignment w:val="auto"/>
        <w:rPr>
          <w:rFonts w:hint="eastAsia" w:ascii="黑体" w:hAnsi="黑体" w:eastAsia="黑体" w:cs="黑体"/>
          <w:b w:val="0"/>
          <w:bCs/>
          <w:color w:val="auto"/>
          <w:kern w:val="44"/>
          <w:sz w:val="32"/>
          <w:szCs w:val="32"/>
          <w:lang w:val="en-US" w:eastAsia="zh-CN" w:bidi="ar-SA"/>
        </w:rPr>
      </w:pPr>
      <w:r>
        <w:rPr>
          <w:rFonts w:hint="eastAsia" w:ascii="黑体" w:hAnsi="黑体" w:eastAsia="黑体" w:cs="黑体"/>
          <w:b w:val="0"/>
          <w:bCs/>
          <w:color w:val="auto"/>
          <w:kern w:val="44"/>
          <w:sz w:val="32"/>
          <w:szCs w:val="32"/>
          <w:lang w:val="en-US" w:eastAsia="zh-CN" w:bidi="ar-SA"/>
        </w:rPr>
        <w:t>十、实施更加有力的保障措施 确保规划任务落实</w:t>
      </w:r>
      <w:bookmarkEnd w:id="403"/>
      <w:r>
        <w:rPr>
          <w:rFonts w:hint="eastAsia" w:ascii="黑体" w:hAnsi="黑体" w:eastAsia="黑体" w:cs="黑体"/>
          <w:b w:val="0"/>
          <w:bCs/>
          <w:color w:val="auto"/>
          <w:kern w:val="44"/>
          <w:sz w:val="32"/>
          <w:szCs w:val="32"/>
          <w:lang w:val="en-US" w:eastAsia="zh-CN" w:bidi="ar-SA"/>
        </w:rPr>
        <w:t>落地</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Start w:id="420" w:name="_Toc588773210"/>
      <w:bookmarkStart w:id="421" w:name="_Toc1161872383"/>
      <w:bookmarkStart w:id="422" w:name="_Toc573475097"/>
      <w:bookmarkStart w:id="423" w:name="_Toc1759231158"/>
      <w:bookmarkStart w:id="424" w:name="_Toc206669972"/>
      <w:bookmarkStart w:id="425" w:name="_Toc2013657472"/>
      <w:bookmarkStart w:id="426" w:name="_Toc994607201"/>
      <w:bookmarkStart w:id="427" w:name="_Toc681208654"/>
      <w:bookmarkStart w:id="428" w:name="_Toc699351490"/>
      <w:bookmarkStart w:id="429" w:name="_Toc1006409931"/>
      <w:bookmarkStart w:id="430" w:name="_Toc238937545"/>
      <w:bookmarkStart w:id="431" w:name="_Toc63619205"/>
      <w:bookmarkStart w:id="432" w:name="_Toc1822241745"/>
      <w:bookmarkStart w:id="433" w:name="_Toc526282475"/>
      <w:bookmarkStart w:id="434" w:name="_Toc197643821"/>
      <w:bookmarkStart w:id="435" w:name="_Toc651482335"/>
      <w:bookmarkStart w:id="436" w:name="_Toc668246410"/>
    </w:p>
    <w:p>
      <w:pPr>
        <w:pageBreakBefore w:val="0"/>
        <w:numPr>
          <w:ilvl w:val="0"/>
          <w:numId w:val="0"/>
        </w:numPr>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楷体" w:hAnsi="楷体" w:eastAsia="楷体" w:cs="楷体"/>
          <w:b w:val="0"/>
          <w:bCs/>
          <w:color w:val="auto"/>
          <w:kern w:val="44"/>
          <w:sz w:val="32"/>
          <w:szCs w:val="20"/>
          <w:u w:color="000000"/>
          <w:lang w:val="en-US" w:eastAsia="zh-CN" w:bidi="ar-SA"/>
        </w:rPr>
        <w:t>（三十四）加强党的领导</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Fonts w:hint="eastAsia" w:ascii="楷体" w:hAnsi="楷体" w:eastAsia="楷体" w:cs="楷体"/>
          <w:b w:val="0"/>
          <w:bCs/>
          <w:color w:val="auto"/>
          <w:kern w:val="44"/>
          <w:sz w:val="32"/>
          <w:szCs w:val="20"/>
          <w:u w:color="000000"/>
          <w:lang w:val="en-US" w:eastAsia="zh-CN" w:bidi="ar-SA"/>
        </w:rPr>
        <w:t>。</w:t>
      </w:r>
      <w:r>
        <w:rPr>
          <w:rFonts w:hint="eastAsia" w:ascii="仿宋" w:hAnsi="仿宋" w:eastAsia="仿宋" w:cs="仿宋"/>
          <w:color w:val="auto"/>
          <w:sz w:val="32"/>
          <w:szCs w:val="32"/>
          <w:u w:color="000000"/>
        </w:rPr>
        <w:t>深入学习贯彻习近平新时代中国特色社会主义思想，增强“四个意识”、坚定“四个自信”、做到“两个维护”，把党的领导贯彻和体现到促进就业工作的各领域、各方面、各环节，确保党中央、国务院和省委、省政府关于促进就业的各项决策部署落到实处。</w:t>
      </w:r>
      <w:bookmarkStart w:id="437" w:name="_Toc852184943"/>
      <w:bookmarkStart w:id="438" w:name="_Toc92713540"/>
      <w:bookmarkStart w:id="439" w:name="_Toc606680777"/>
      <w:bookmarkStart w:id="440" w:name="_Toc723205216"/>
      <w:bookmarkStart w:id="441" w:name="_Toc436355144"/>
      <w:bookmarkStart w:id="442" w:name="_Toc1546432782"/>
      <w:bookmarkStart w:id="443" w:name="_Toc948565430"/>
      <w:bookmarkStart w:id="444" w:name="_Toc732918725"/>
      <w:bookmarkStart w:id="445" w:name="_Toc947553432"/>
      <w:bookmarkStart w:id="446" w:name="_Toc1072507045"/>
      <w:bookmarkStart w:id="447" w:name="_Toc851367689"/>
      <w:bookmarkStart w:id="448" w:name="_Toc996751176"/>
      <w:bookmarkStart w:id="449" w:name="_Toc1198896550"/>
      <w:bookmarkStart w:id="450" w:name="_Toc1930548184"/>
      <w:bookmarkStart w:id="451" w:name="_Toc1826238260"/>
      <w:bookmarkStart w:id="452" w:name="_Toc1565220107"/>
    </w:p>
    <w:p>
      <w:pPr>
        <w:pageBreakBefore w:val="0"/>
        <w:numPr>
          <w:ilvl w:val="0"/>
          <w:numId w:val="0"/>
        </w:numPr>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楷体" w:hAnsi="楷体" w:eastAsia="楷体" w:cs="楷体"/>
          <w:b w:val="0"/>
          <w:bCs/>
          <w:color w:val="auto"/>
          <w:kern w:val="44"/>
          <w:sz w:val="32"/>
          <w:szCs w:val="20"/>
          <w:u w:color="000000"/>
          <w:lang w:val="en-US" w:eastAsia="zh-CN" w:bidi="ar-SA"/>
        </w:rPr>
        <w:t>（三十五）强化资金保障</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Fonts w:hint="eastAsia" w:ascii="仿宋" w:hAnsi="仿宋" w:eastAsia="仿宋" w:cs="仿宋"/>
          <w:color w:val="auto"/>
          <w:sz w:val="32"/>
          <w:szCs w:val="32"/>
          <w:u w:color="000000"/>
        </w:rPr>
        <w:t>。对规划确定的重点任务，按照事权和支出责任划分，落实</w:t>
      </w:r>
      <w:r>
        <w:rPr>
          <w:rFonts w:hint="eastAsia" w:ascii="仿宋" w:hAnsi="仿宋" w:eastAsia="仿宋" w:cs="仿宋"/>
          <w:color w:val="auto"/>
          <w:sz w:val="32"/>
          <w:szCs w:val="32"/>
          <w:u w:color="000000"/>
          <w:lang w:eastAsia="zh-CN"/>
        </w:rPr>
        <w:t>各部门和</w:t>
      </w:r>
      <w:r>
        <w:rPr>
          <w:rFonts w:hint="eastAsia" w:ascii="仿宋" w:hAnsi="仿宋" w:eastAsia="仿宋" w:cs="仿宋"/>
          <w:color w:val="auto"/>
          <w:sz w:val="32"/>
          <w:szCs w:val="32"/>
          <w:u w:color="000000"/>
        </w:rPr>
        <w:t>各级政府的投入责任。统筹各类就业资金使用，提高使用效率。健全就业领域投融资机制，进一步拓宽资金渠道，引导带动金融资本和社会资本在返乡入乡创业、技能培训、职业教育、就业服务等方面发挥更大作用。</w:t>
      </w:r>
      <w:bookmarkStart w:id="453" w:name="_Toc1541562691"/>
      <w:bookmarkStart w:id="454" w:name="_Toc2047866666"/>
      <w:bookmarkStart w:id="455" w:name="_Toc1245048550"/>
      <w:bookmarkStart w:id="456" w:name="_Toc1342288270"/>
      <w:bookmarkStart w:id="457" w:name="_Toc957795704"/>
      <w:bookmarkStart w:id="458" w:name="_Toc1310417276"/>
      <w:bookmarkStart w:id="459" w:name="_Toc1040378639"/>
      <w:bookmarkStart w:id="460" w:name="_Toc1516634858"/>
      <w:bookmarkStart w:id="461" w:name="_Toc66863079"/>
      <w:bookmarkStart w:id="462" w:name="_Toc254967947"/>
      <w:bookmarkStart w:id="463" w:name="_Toc136132938"/>
      <w:bookmarkStart w:id="464" w:name="_Toc389093598"/>
      <w:bookmarkStart w:id="465" w:name="_Toc895438135"/>
      <w:bookmarkStart w:id="466" w:name="_Toc826775086"/>
      <w:bookmarkStart w:id="467" w:name="_Toc1268940498"/>
      <w:bookmarkStart w:id="468" w:name="_Toc1855566844"/>
      <w:bookmarkStart w:id="469" w:name="_Toc1166237319"/>
    </w:p>
    <w:p>
      <w:pPr>
        <w:pageBreakBefore w:val="0"/>
        <w:numPr>
          <w:ilvl w:val="0"/>
          <w:numId w:val="0"/>
        </w:numPr>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楷体" w:hAnsi="楷体" w:eastAsia="楷体" w:cs="楷体"/>
          <w:b w:val="0"/>
          <w:bCs/>
          <w:color w:val="auto"/>
          <w:kern w:val="44"/>
          <w:sz w:val="32"/>
          <w:szCs w:val="20"/>
          <w:u w:color="000000"/>
          <w:lang w:val="en-US" w:eastAsia="zh-CN" w:bidi="ar-SA"/>
        </w:rPr>
        <w:t>（三十六）</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Fonts w:hint="eastAsia" w:ascii="楷体" w:hAnsi="楷体" w:eastAsia="楷体" w:cs="楷体"/>
          <w:b w:val="0"/>
          <w:bCs/>
          <w:color w:val="auto"/>
          <w:kern w:val="44"/>
          <w:sz w:val="32"/>
          <w:szCs w:val="20"/>
          <w:u w:color="000000"/>
          <w:lang w:val="en-US" w:eastAsia="zh-CN" w:bidi="ar-SA"/>
        </w:rPr>
        <w:t>增强政策绩效。</w:t>
      </w:r>
      <w:r>
        <w:rPr>
          <w:rFonts w:hint="eastAsia" w:ascii="仿宋" w:hAnsi="仿宋" w:eastAsia="仿宋" w:cs="仿宋"/>
          <w:color w:val="auto"/>
          <w:sz w:val="32"/>
          <w:szCs w:val="32"/>
          <w:u w:color="000000"/>
        </w:rPr>
        <w:t>实施就业政策快办帮办行动，及时公布政策清单和网上申领渠道，依托大数据比对主动识别政策对象，精准推送信息，扩大政策知晓度。</w:t>
      </w:r>
      <w:r>
        <w:rPr>
          <w:rFonts w:hint="eastAsia" w:ascii="仿宋" w:hAnsi="仿宋" w:eastAsia="仿宋" w:cs="仿宋"/>
          <w:color w:val="auto"/>
          <w:sz w:val="32"/>
          <w:szCs w:val="32"/>
          <w:u w:color="000000"/>
          <w:lang w:val="zh-CN"/>
        </w:rPr>
        <w:t>完善</w:t>
      </w:r>
      <w:r>
        <w:rPr>
          <w:rFonts w:hint="eastAsia" w:ascii="仿宋" w:hAnsi="仿宋" w:eastAsia="仿宋" w:cs="仿宋"/>
          <w:color w:val="auto"/>
          <w:sz w:val="32"/>
          <w:szCs w:val="32"/>
          <w:u w:color="000000"/>
        </w:rPr>
        <w:t>政策宣传机制，开展政策推介解读，努力提高政策落实率。加强对就业政策实施效果跟踪调查评估。</w:t>
      </w:r>
      <w:bookmarkStart w:id="470" w:name="_Toc1391784002"/>
      <w:bookmarkStart w:id="471" w:name="_Toc931198616"/>
      <w:bookmarkStart w:id="472" w:name="_Toc1206679308"/>
      <w:bookmarkStart w:id="473" w:name="_Toc1573547875"/>
      <w:bookmarkStart w:id="474" w:name="_Toc534428877"/>
      <w:bookmarkStart w:id="475" w:name="_Toc173007185"/>
      <w:bookmarkStart w:id="476" w:name="_Toc2091265255"/>
      <w:bookmarkStart w:id="477" w:name="_Toc798998198"/>
      <w:bookmarkStart w:id="478" w:name="_Toc1241735211"/>
      <w:bookmarkStart w:id="479" w:name="_Toc844008867"/>
      <w:bookmarkStart w:id="480" w:name="_Toc726849520"/>
      <w:bookmarkStart w:id="481" w:name="_Toc1197497468"/>
      <w:bookmarkStart w:id="482" w:name="_Toc1919309825"/>
      <w:bookmarkStart w:id="483" w:name="_Toc826306266"/>
      <w:bookmarkStart w:id="484" w:name="_Toc717837974"/>
      <w:bookmarkStart w:id="485" w:name="_Toc1016315862"/>
      <w:bookmarkStart w:id="486" w:name="_Toc1669881605"/>
    </w:p>
    <w:p>
      <w:pPr>
        <w:pageBreakBefore w:val="0"/>
        <w:numPr>
          <w:ilvl w:val="0"/>
          <w:numId w:val="0"/>
        </w:numPr>
        <w:kinsoku/>
        <w:wordWrap/>
        <w:topLinePunct w:val="0"/>
        <w:autoSpaceDE/>
        <w:autoSpaceDN/>
        <w:bidi w:val="0"/>
        <w:spacing w:line="600" w:lineRule="exact"/>
        <w:ind w:firstLine="640" w:firstLineChars="200"/>
        <w:textAlignment w:val="auto"/>
        <w:rPr>
          <w:rFonts w:hint="eastAsia" w:ascii="仿宋" w:hAnsi="仿宋" w:eastAsia="仿宋" w:cs="仿宋"/>
          <w:color w:val="auto"/>
          <w:sz w:val="32"/>
          <w:szCs w:val="32"/>
          <w:u w:color="000000"/>
        </w:rPr>
      </w:pPr>
      <w:r>
        <w:rPr>
          <w:rFonts w:hint="eastAsia" w:ascii="楷体" w:hAnsi="楷体" w:eastAsia="楷体" w:cs="楷体"/>
          <w:b w:val="0"/>
          <w:bCs/>
          <w:color w:val="auto"/>
          <w:kern w:val="44"/>
          <w:sz w:val="32"/>
          <w:szCs w:val="20"/>
          <w:u w:color="000000"/>
          <w:lang w:val="en-US" w:eastAsia="zh-CN" w:bidi="ar-SA"/>
        </w:rPr>
        <w:t>（三十七）鼓励探索创新</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Fonts w:hint="eastAsia" w:ascii="楷体" w:hAnsi="楷体" w:eastAsia="楷体" w:cs="楷体"/>
          <w:b w:val="0"/>
          <w:bCs/>
          <w:color w:val="auto"/>
          <w:kern w:val="44"/>
          <w:sz w:val="32"/>
          <w:szCs w:val="20"/>
          <w:u w:color="000000"/>
          <w:lang w:val="en-US" w:eastAsia="zh-CN" w:bidi="ar-SA"/>
        </w:rPr>
        <w:t>。</w:t>
      </w:r>
      <w:r>
        <w:rPr>
          <w:rFonts w:hint="eastAsia" w:ascii="仿宋" w:hAnsi="仿宋" w:eastAsia="仿宋" w:cs="仿宋"/>
          <w:color w:val="auto"/>
          <w:sz w:val="32"/>
          <w:szCs w:val="32"/>
          <w:u w:color="000000"/>
        </w:rPr>
        <w:t>对规划确定的重大举措和创新政策，支持有条件的地方先试先行。推动就业领域相关法律法规修订。鼓励各地各有关部门和单位围绕规划重点任务，创新思路和形式，积极探索多种务实有效的实施方式和有用、管用的落实措施，着力形成一批可复制可推广的经验做法和制度性成果。</w:t>
      </w:r>
      <w:bookmarkStart w:id="487" w:name="_Toc636416864"/>
      <w:bookmarkStart w:id="488" w:name="_Toc2070251596"/>
      <w:bookmarkStart w:id="489" w:name="_Toc1104622157"/>
      <w:bookmarkStart w:id="490" w:name="_Toc1939883288"/>
      <w:bookmarkStart w:id="491" w:name="_Toc761670016"/>
      <w:bookmarkStart w:id="492" w:name="_Toc1218895982"/>
      <w:bookmarkStart w:id="493" w:name="_Toc1081276830"/>
      <w:bookmarkStart w:id="494" w:name="_Toc874328723"/>
      <w:bookmarkStart w:id="495" w:name="_Toc12362204"/>
      <w:bookmarkStart w:id="496" w:name="_Toc702775318"/>
      <w:bookmarkStart w:id="497" w:name="_Toc724454024"/>
      <w:bookmarkStart w:id="498" w:name="_Toc1882301560"/>
      <w:bookmarkStart w:id="499" w:name="_Toc820121882"/>
      <w:bookmarkStart w:id="500" w:name="_Toc296790930"/>
      <w:bookmarkStart w:id="501" w:name="_Toc268010466"/>
      <w:bookmarkStart w:id="502" w:name="_Toc1808436324"/>
      <w:bookmarkStart w:id="503" w:name="_Toc1523561330"/>
    </w:p>
    <w:p>
      <w:pPr>
        <w:pageBreakBefore w:val="0"/>
        <w:numPr>
          <w:ilvl w:val="0"/>
          <w:numId w:val="0"/>
        </w:numPr>
        <w:kinsoku/>
        <w:wordWrap/>
        <w:topLinePunct w:val="0"/>
        <w:autoSpaceDE/>
        <w:autoSpaceDN/>
        <w:bidi w:val="0"/>
        <w:spacing w:line="600" w:lineRule="exact"/>
        <w:ind w:firstLine="640" w:firstLineChars="200"/>
        <w:textAlignment w:val="auto"/>
        <w:rPr>
          <w:color w:val="auto"/>
        </w:rPr>
      </w:pPr>
      <w:r>
        <w:rPr>
          <w:rFonts w:hint="eastAsia" w:ascii="楷体" w:hAnsi="楷体" w:eastAsia="楷体" w:cs="楷体"/>
          <w:b w:val="0"/>
          <w:bCs/>
          <w:color w:val="auto"/>
          <w:kern w:val="44"/>
          <w:sz w:val="32"/>
          <w:szCs w:val="20"/>
          <w:u w:color="000000"/>
          <w:lang w:val="en-US" w:eastAsia="zh-CN" w:bidi="ar-SA"/>
        </w:rPr>
        <w:t>（三十八）认真组织实施</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Pr>
          <w:rFonts w:hint="eastAsia" w:ascii="楷体" w:hAnsi="楷体" w:eastAsia="楷体" w:cs="楷体"/>
          <w:b w:val="0"/>
          <w:bCs/>
          <w:color w:val="auto"/>
          <w:kern w:val="44"/>
          <w:sz w:val="32"/>
          <w:szCs w:val="20"/>
          <w:u w:color="000000"/>
          <w:lang w:val="en-US" w:eastAsia="zh-CN" w:bidi="ar-SA"/>
        </w:rPr>
        <w:t>。</w:t>
      </w:r>
      <w:r>
        <w:rPr>
          <w:rFonts w:hint="eastAsia" w:ascii="仿宋" w:hAnsi="仿宋" w:eastAsia="仿宋" w:cs="仿宋"/>
          <w:color w:val="auto"/>
          <w:sz w:val="32"/>
          <w:szCs w:val="32"/>
          <w:u w:color="000000"/>
        </w:rPr>
        <w:t>充分发挥云南省就业工作领导小组作用，推动各部门履职尽责。创新规划组织实施方式，针对重大任务，专题专项推进。加强对规划实施情况及效果的评估，推进以评估为依据的政策改进，及时总结推广政策实施中的好经验好做法。强化监督检查，层层压实责任，抓好任务落实。</w:t>
      </w:r>
    </w:p>
    <w:sectPr>
      <w:footerReference r:id="rId11" w:type="default"/>
      <w:footerReference r:id="rId12" w:type="even"/>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DejaVu Sans">
    <w:altName w:val="Segoe Print"/>
    <w:panose1 w:val="020B0603030804020204"/>
    <w:charset w:val="00"/>
    <w:family w:val="modern"/>
    <w:pitch w:val="default"/>
    <w:sig w:usb0="00000000" w:usb1="00000000" w:usb2="0A246029" w:usb3="0400200C" w:csb0="600001FF" w:csb1="DFFF0000"/>
  </w:font>
  <w:font w:name="方正黑体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141"/>
      <w:jc w:val="right"/>
      <w:rPr>
        <w:rFonts w:ascii="仿宋_GB2312" w:hAnsi="宋体" w:eastAsia="仿宋_GB2312"/>
        <w:caps/>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141" w:firstLine="140" w:firstLineChars="50"/>
      <w:rPr>
        <w:rFonts w:ascii="宋体"/>
        <w:caps/>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141"/>
      <w:jc w:val="right"/>
      <w:rPr>
        <w:rFonts w:ascii="仿宋_GB2312" w:hAnsi="宋体" w:eastAsia="仿宋_GB2312"/>
        <w:caps/>
        <w:sz w:val="28"/>
        <w:szCs w:val="28"/>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O11wiEbAgAAIQQAAA4A&#10;AAAAAAAAAQAgAAAAHwEAAGRycy9lMm9Eb2MueG1sUEsFBgAAAAAGAAYAWQEAAKwFAAAAAA==&#10;">
              <v:fill on="f" focussize="0,0"/>
              <v:stroke on="f" weight="0.5pt"/>
              <v:imagedata o:title=""/>
              <o:lock v:ext="edit" aspectratio="f"/>
              <v:textbox inset="0mm,0mm,0mm,0mm" style="mso-fit-shape-to-text:t;">
                <w:txbxContent>
                  <w:p>
                    <w:pPr>
                      <w:pStyle w:val="3"/>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141" w:firstLine="90" w:firstLineChars="50"/>
      <w:rPr>
        <w:rFonts w:ascii="宋体"/>
        <w:caps/>
        <w:sz w:val="28"/>
        <w:szCs w:val="28"/>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t xml:space="preserve">— </w:t>
                          </w:r>
                          <w:r>
                            <w:fldChar w:fldCharType="begin"/>
                          </w:r>
                          <w:r>
                            <w:instrText xml:space="preserve"> PAGE  \* MERGEFORMAT </w:instrText>
                          </w:r>
                          <w:r>
                            <w:fldChar w:fldCharType="separate"/>
                          </w:r>
                          <w:r>
                            <w:t>42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CCoAeuGQIAACEEAAAOAAAA&#10;AAAAAAEAIAAAAB8BAABkcnMvZTJvRG9jLnhtbFBLBQYAAAAABgAGAFkBAACqBQ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42</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141"/>
      <w:jc w:val="right"/>
      <w:rPr>
        <w:rFonts w:ascii="仿宋_GB2312" w:hAnsi="宋体" w:eastAsia="仿宋_GB2312"/>
        <w:caps/>
        <w:sz w:val="28"/>
        <w:szCs w:val="28"/>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KugqBcbAgAAIwQAAA4A&#10;AAAAAAAAAQAgAAAAHwEAAGRycy9lMm9Eb2MueG1sUEsFBgAAAAAGAAYAWQEAAKwFAAAAAA==&#10;">
              <v:fill on="f" focussize="0,0"/>
              <v:stroke on="f" weight="0.5pt"/>
              <v:imagedata o:title=""/>
              <o:lock v:ext="edit" aspectratio="f"/>
              <v:textbox inset="0mm,0mm,0mm,0mm" style="mso-fit-shape-to-text:t;">
                <w:txbxContent>
                  <w:p>
                    <w:pPr>
                      <w:pStyle w:val="3"/>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141" w:firstLine="140" w:firstLineChars="50"/>
      <w:rPr>
        <w:rFonts w:ascii="宋体"/>
        <w:caps/>
        <w:sz w:val="28"/>
        <w:szCs w:val="2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141"/>
      <w:jc w:val="right"/>
      <w:rPr>
        <w:rFonts w:ascii="仿宋_GB2312" w:hAnsi="宋体" w:eastAsia="仿宋_GB2312"/>
        <w:caps/>
        <w:sz w:val="28"/>
        <w:szCs w:val="28"/>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nEPZ0ZAgAAIw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DpxD2dGQIAACMEAAAOAAAA&#10;AAAAAAEAIAAAAB8BAABkcnMvZTJvRG9jLnhtbFBLBQYAAAAABgAGAFkBAACqBQAAAAA=&#10;">
              <v:fill on="f" focussize="0,0"/>
              <v:stroke on="f" weight="0.5pt"/>
              <v:imagedata o:title=""/>
              <o:lock v:ext="edit" aspectratio="f"/>
              <v:textbox inset="0mm,0mm,0mm,0mm" style="mso-fit-shape-to-text:t;">
                <w:txbxContent>
                  <w:p>
                    <w:pPr>
                      <w:pStyle w:val="3"/>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141" w:firstLine="140" w:firstLineChars="50"/>
      <w:rPr>
        <w:rFonts w:ascii="宋体"/>
        <w:caps/>
        <w:sz w:val="28"/>
        <w:szCs w:val="2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141"/>
      <w:jc w:val="right"/>
      <w:rPr>
        <w:rFonts w:ascii="仿宋_GB2312" w:hAnsi="宋体" w:eastAsia="仿宋_GB2312"/>
        <w:caps/>
        <w:sz w:val="28"/>
        <w:szCs w:val="2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t>—</w:t>
                          </w:r>
                          <w:r>
                            <w:rPr>
                              <w:rFonts w:hint="eastAsia" w:asciiTheme="majorEastAsia" w:hAnsiTheme="majorEastAsia" w:eastAsiaTheme="majorEastAsia" w:cstheme="majorEastAsia"/>
                              <w:sz w:val="24"/>
                              <w:szCs w:val="24"/>
                              <w:lang w:eastAsia="zh-CN"/>
                            </w:rPr>
                            <w:t xml:space="preserve"> </w:t>
                          </w:r>
                          <w:r>
                            <w:rPr>
                              <w:rFonts w:hint="eastAsia" w:asciiTheme="majorEastAsia" w:hAnsiTheme="majorEastAsia" w:eastAsiaTheme="majorEastAsia" w:cstheme="majorEastAsia"/>
                              <w:sz w:val="24"/>
                              <w:szCs w:val="24"/>
                              <w:lang w:eastAsia="zh-CN"/>
                            </w:rPr>
                            <w:fldChar w:fldCharType="begin"/>
                          </w:r>
                          <w:r>
                            <w:rPr>
                              <w:rFonts w:hint="eastAsia" w:asciiTheme="majorEastAsia" w:hAnsiTheme="majorEastAsia" w:eastAsiaTheme="majorEastAsia" w:cstheme="majorEastAsia"/>
                              <w:sz w:val="24"/>
                              <w:szCs w:val="24"/>
                              <w:lang w:eastAsia="zh-CN"/>
                            </w:rPr>
                            <w:instrText xml:space="preserve"> PAGE  \* MERGEFORMAT </w:instrText>
                          </w:r>
                          <w:r>
                            <w:rPr>
                              <w:rFonts w:hint="eastAsia" w:asciiTheme="majorEastAsia" w:hAnsiTheme="majorEastAsia" w:eastAsiaTheme="majorEastAsia" w:cstheme="majorEastAsia"/>
                              <w:sz w:val="24"/>
                              <w:szCs w:val="24"/>
                              <w:lang w:eastAsia="zh-CN"/>
                            </w:rPr>
                            <w:fldChar w:fldCharType="separate"/>
                          </w:r>
                          <w:r>
                            <w:rPr>
                              <w:rFonts w:hint="eastAsia" w:asciiTheme="majorEastAsia" w:hAnsiTheme="majorEastAsia" w:eastAsiaTheme="majorEastAsia" w:cstheme="majorEastAsia"/>
                              <w:sz w:val="24"/>
                              <w:szCs w:val="24"/>
                              <w:lang w:eastAsia="zh-CN"/>
                            </w:rPr>
                            <w:t>1</w:t>
                          </w:r>
                          <w:r>
                            <w:rPr>
                              <w:rFonts w:hint="eastAsia" w:asciiTheme="majorEastAsia" w:hAnsiTheme="majorEastAsia" w:eastAsiaTheme="majorEastAsia" w:cstheme="majorEastAsia"/>
                              <w:sz w:val="24"/>
                              <w:szCs w:val="24"/>
                              <w:lang w:eastAsia="zh-CN"/>
                            </w:rPr>
                            <w:fldChar w:fldCharType="end"/>
                          </w:r>
                          <w:r>
                            <w:rPr>
                              <w:rFonts w:hint="eastAsia" w:asciiTheme="majorEastAsia" w:hAnsiTheme="majorEastAsia" w:eastAsiaTheme="majorEastAsia" w:cstheme="majorEastAsia"/>
                              <w:sz w:val="24"/>
                              <w:szCs w:val="24"/>
                              <w:lang w:eastAsia="zh-CN"/>
                            </w:rPr>
                            <w:t xml:space="preserve"> </w:t>
                          </w:r>
                          <w:r>
                            <w:rPr>
                              <w:rFonts w:hint="eastAsia"/>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j4BmRQCAAAVBAAADgAAAAAAAAAB&#10;ACAAAAAfAQAAZHJzL2Uyb0RvYy54bWxQSwUGAAAAAAYABgBZAQAApQU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t>—</w:t>
                    </w:r>
                    <w:r>
                      <w:rPr>
                        <w:rFonts w:hint="eastAsia" w:asciiTheme="majorEastAsia" w:hAnsiTheme="majorEastAsia" w:eastAsiaTheme="majorEastAsia" w:cstheme="majorEastAsia"/>
                        <w:sz w:val="24"/>
                        <w:szCs w:val="24"/>
                        <w:lang w:eastAsia="zh-CN"/>
                      </w:rPr>
                      <w:t xml:space="preserve"> </w:t>
                    </w:r>
                    <w:r>
                      <w:rPr>
                        <w:rFonts w:hint="eastAsia" w:asciiTheme="majorEastAsia" w:hAnsiTheme="majorEastAsia" w:eastAsiaTheme="majorEastAsia" w:cstheme="majorEastAsia"/>
                        <w:sz w:val="24"/>
                        <w:szCs w:val="24"/>
                        <w:lang w:eastAsia="zh-CN"/>
                      </w:rPr>
                      <w:fldChar w:fldCharType="begin"/>
                    </w:r>
                    <w:r>
                      <w:rPr>
                        <w:rFonts w:hint="eastAsia" w:asciiTheme="majorEastAsia" w:hAnsiTheme="majorEastAsia" w:eastAsiaTheme="majorEastAsia" w:cstheme="majorEastAsia"/>
                        <w:sz w:val="24"/>
                        <w:szCs w:val="24"/>
                        <w:lang w:eastAsia="zh-CN"/>
                      </w:rPr>
                      <w:instrText xml:space="preserve"> PAGE  \* MERGEFORMAT </w:instrText>
                    </w:r>
                    <w:r>
                      <w:rPr>
                        <w:rFonts w:hint="eastAsia" w:asciiTheme="majorEastAsia" w:hAnsiTheme="majorEastAsia" w:eastAsiaTheme="majorEastAsia" w:cstheme="majorEastAsia"/>
                        <w:sz w:val="24"/>
                        <w:szCs w:val="24"/>
                        <w:lang w:eastAsia="zh-CN"/>
                      </w:rPr>
                      <w:fldChar w:fldCharType="separate"/>
                    </w:r>
                    <w:r>
                      <w:rPr>
                        <w:rFonts w:hint="eastAsia" w:asciiTheme="majorEastAsia" w:hAnsiTheme="majorEastAsia" w:eastAsiaTheme="majorEastAsia" w:cstheme="majorEastAsia"/>
                        <w:sz w:val="24"/>
                        <w:szCs w:val="24"/>
                        <w:lang w:eastAsia="zh-CN"/>
                      </w:rPr>
                      <w:t>1</w:t>
                    </w:r>
                    <w:r>
                      <w:rPr>
                        <w:rFonts w:hint="eastAsia" w:asciiTheme="majorEastAsia" w:hAnsiTheme="majorEastAsia" w:eastAsiaTheme="majorEastAsia" w:cstheme="majorEastAsia"/>
                        <w:sz w:val="24"/>
                        <w:szCs w:val="24"/>
                        <w:lang w:eastAsia="zh-CN"/>
                      </w:rPr>
                      <w:fldChar w:fldCharType="end"/>
                    </w:r>
                    <w:r>
                      <w:rPr>
                        <w:rFonts w:hint="eastAsia" w:asciiTheme="majorEastAsia" w:hAnsiTheme="majorEastAsia" w:eastAsiaTheme="majorEastAsia" w:cstheme="majorEastAsia"/>
                        <w:sz w:val="24"/>
                        <w:szCs w:val="24"/>
                        <w:lang w:eastAsia="zh-CN"/>
                      </w:rPr>
                      <w:t xml:space="preserve"> </w:t>
                    </w:r>
                    <w:r>
                      <w:rPr>
                        <w:rFonts w:hint="eastAsia"/>
                        <w:lang w:eastAsia="zh-CN"/>
                      </w:rPr>
                      <w:t>—</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4bVggbAgAAIQQAAA4A&#10;AAAAAAAAAQAgAAAAHwEAAGRycy9lMm9Eb2MueG1sUEsFBgAAAAAGAAYAWQEAAKwFAAAAAA==&#10;">
              <v:fill on="f" focussize="0,0"/>
              <v:stroke on="f" weight="0.5pt"/>
              <v:imagedata o:title=""/>
              <o:lock v:ext="edit" aspectratio="f"/>
              <v:textbox inset="0mm,0mm,0mm,0mm" style="mso-fit-shape-to-text:t;">
                <w:txbxContent>
                  <w:p>
                    <w:pPr>
                      <w:pStyle w:val="3"/>
                    </w:pP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141" w:firstLine="90" w:firstLineChars="50"/>
      <w:rPr>
        <w:rFonts w:ascii="宋体"/>
        <w:caps/>
        <w:sz w:val="28"/>
        <w:szCs w:val="28"/>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COFi7YbAgAAIQQAAA4A&#10;AAAAAAAAAQAgAAAAHwEAAGRycy9lMm9Eb2MueG1sUEsFBgAAAAAGAAYAWQEAAKwFA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EB5EFDD"/>
    <w:multiLevelType w:val="singleLevel"/>
    <w:tmpl w:val="FEB5EFDD"/>
    <w:lvl w:ilvl="0" w:tentative="0">
      <w:start w:val="9"/>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05723"/>
    <w:rsid w:val="00841C43"/>
    <w:rsid w:val="00AE7DD6"/>
    <w:rsid w:val="010719AD"/>
    <w:rsid w:val="01085D1B"/>
    <w:rsid w:val="010D45C6"/>
    <w:rsid w:val="01296F25"/>
    <w:rsid w:val="016B2A44"/>
    <w:rsid w:val="018B6FE1"/>
    <w:rsid w:val="018E3C0A"/>
    <w:rsid w:val="019B6848"/>
    <w:rsid w:val="020E34A3"/>
    <w:rsid w:val="02D3136F"/>
    <w:rsid w:val="02D32429"/>
    <w:rsid w:val="02F10DBB"/>
    <w:rsid w:val="03157A0D"/>
    <w:rsid w:val="035C1803"/>
    <w:rsid w:val="035C54B0"/>
    <w:rsid w:val="035E280E"/>
    <w:rsid w:val="037669E0"/>
    <w:rsid w:val="03890EDF"/>
    <w:rsid w:val="03AB0E17"/>
    <w:rsid w:val="03BC4C4E"/>
    <w:rsid w:val="03CD2D07"/>
    <w:rsid w:val="03E048F2"/>
    <w:rsid w:val="03EE5A98"/>
    <w:rsid w:val="04013DD9"/>
    <w:rsid w:val="040C0A01"/>
    <w:rsid w:val="04443A45"/>
    <w:rsid w:val="04467C44"/>
    <w:rsid w:val="049262E5"/>
    <w:rsid w:val="04931E32"/>
    <w:rsid w:val="04E14C63"/>
    <w:rsid w:val="0503141F"/>
    <w:rsid w:val="050A6D1B"/>
    <w:rsid w:val="05205A23"/>
    <w:rsid w:val="052E161B"/>
    <w:rsid w:val="05481EF1"/>
    <w:rsid w:val="058957FB"/>
    <w:rsid w:val="05A1386D"/>
    <w:rsid w:val="05A70572"/>
    <w:rsid w:val="05E54DE3"/>
    <w:rsid w:val="06260795"/>
    <w:rsid w:val="065037D9"/>
    <w:rsid w:val="06774B11"/>
    <w:rsid w:val="06B3429E"/>
    <w:rsid w:val="06B94983"/>
    <w:rsid w:val="06BA3F64"/>
    <w:rsid w:val="06CC7E06"/>
    <w:rsid w:val="06D76D91"/>
    <w:rsid w:val="073E005C"/>
    <w:rsid w:val="073F153E"/>
    <w:rsid w:val="07D93C20"/>
    <w:rsid w:val="07DC20EB"/>
    <w:rsid w:val="085952B5"/>
    <w:rsid w:val="09913560"/>
    <w:rsid w:val="09F278DF"/>
    <w:rsid w:val="09F90806"/>
    <w:rsid w:val="0A2977C4"/>
    <w:rsid w:val="0A314202"/>
    <w:rsid w:val="0A646356"/>
    <w:rsid w:val="0A7A2C2D"/>
    <w:rsid w:val="0B2C5F9E"/>
    <w:rsid w:val="0BC81B47"/>
    <w:rsid w:val="0C0F3585"/>
    <w:rsid w:val="0C134660"/>
    <w:rsid w:val="0CE220D0"/>
    <w:rsid w:val="0CFB41A7"/>
    <w:rsid w:val="0D2F0AFB"/>
    <w:rsid w:val="0E147395"/>
    <w:rsid w:val="0E3C4293"/>
    <w:rsid w:val="0E8315C7"/>
    <w:rsid w:val="0E984202"/>
    <w:rsid w:val="0ED66D8D"/>
    <w:rsid w:val="0F317010"/>
    <w:rsid w:val="0F3439B9"/>
    <w:rsid w:val="0F5D23C4"/>
    <w:rsid w:val="0F6434C8"/>
    <w:rsid w:val="0FD95356"/>
    <w:rsid w:val="0FE64CAB"/>
    <w:rsid w:val="107B7888"/>
    <w:rsid w:val="107F6CD6"/>
    <w:rsid w:val="10C304A2"/>
    <w:rsid w:val="10DD5B15"/>
    <w:rsid w:val="113D3A25"/>
    <w:rsid w:val="11A71FE9"/>
    <w:rsid w:val="11E73BF1"/>
    <w:rsid w:val="11FE72A1"/>
    <w:rsid w:val="12025702"/>
    <w:rsid w:val="1238318C"/>
    <w:rsid w:val="127911ED"/>
    <w:rsid w:val="128C08CA"/>
    <w:rsid w:val="128D2B62"/>
    <w:rsid w:val="129030E8"/>
    <w:rsid w:val="129D1DEF"/>
    <w:rsid w:val="12E51F5A"/>
    <w:rsid w:val="12F04E48"/>
    <w:rsid w:val="13094602"/>
    <w:rsid w:val="1355796A"/>
    <w:rsid w:val="137A11B1"/>
    <w:rsid w:val="137D35F4"/>
    <w:rsid w:val="13926039"/>
    <w:rsid w:val="13BF5B68"/>
    <w:rsid w:val="13C02801"/>
    <w:rsid w:val="13F6036C"/>
    <w:rsid w:val="147B54DA"/>
    <w:rsid w:val="148B2B4C"/>
    <w:rsid w:val="14A208FB"/>
    <w:rsid w:val="14A93B27"/>
    <w:rsid w:val="14EB07D1"/>
    <w:rsid w:val="14F81B07"/>
    <w:rsid w:val="1506604C"/>
    <w:rsid w:val="15273FA2"/>
    <w:rsid w:val="15550E10"/>
    <w:rsid w:val="15557A71"/>
    <w:rsid w:val="158121E8"/>
    <w:rsid w:val="15CA2E0C"/>
    <w:rsid w:val="161F27DE"/>
    <w:rsid w:val="16277DC3"/>
    <w:rsid w:val="16B84043"/>
    <w:rsid w:val="16CB1925"/>
    <w:rsid w:val="16D14E94"/>
    <w:rsid w:val="171020A6"/>
    <w:rsid w:val="1718562C"/>
    <w:rsid w:val="172C19BF"/>
    <w:rsid w:val="173F3751"/>
    <w:rsid w:val="174D0FC3"/>
    <w:rsid w:val="177755B8"/>
    <w:rsid w:val="177D46A5"/>
    <w:rsid w:val="177F2F15"/>
    <w:rsid w:val="17844DCE"/>
    <w:rsid w:val="17CD6C98"/>
    <w:rsid w:val="17D12CCC"/>
    <w:rsid w:val="17F73A1E"/>
    <w:rsid w:val="17FFD71F"/>
    <w:rsid w:val="18632553"/>
    <w:rsid w:val="18660773"/>
    <w:rsid w:val="1874519C"/>
    <w:rsid w:val="188539F7"/>
    <w:rsid w:val="18B34212"/>
    <w:rsid w:val="190B36DA"/>
    <w:rsid w:val="193F10F3"/>
    <w:rsid w:val="1971579D"/>
    <w:rsid w:val="19915D40"/>
    <w:rsid w:val="19D4040B"/>
    <w:rsid w:val="1A322A84"/>
    <w:rsid w:val="1A6634A4"/>
    <w:rsid w:val="1ADB2D3E"/>
    <w:rsid w:val="1AFE3003"/>
    <w:rsid w:val="1B8A5A1B"/>
    <w:rsid w:val="1B9D71F0"/>
    <w:rsid w:val="1BDF6572"/>
    <w:rsid w:val="1BED76C7"/>
    <w:rsid w:val="1BF13EDD"/>
    <w:rsid w:val="1BF60661"/>
    <w:rsid w:val="1BFE0375"/>
    <w:rsid w:val="1C29532F"/>
    <w:rsid w:val="1C5E3A1A"/>
    <w:rsid w:val="1C645785"/>
    <w:rsid w:val="1C6F5905"/>
    <w:rsid w:val="1CBD4BC7"/>
    <w:rsid w:val="1CE60581"/>
    <w:rsid w:val="1D36788F"/>
    <w:rsid w:val="1D506C72"/>
    <w:rsid w:val="1D857B36"/>
    <w:rsid w:val="1DB55566"/>
    <w:rsid w:val="1DC2301B"/>
    <w:rsid w:val="1E237E33"/>
    <w:rsid w:val="1E263B22"/>
    <w:rsid w:val="1E270D7A"/>
    <w:rsid w:val="1E5F1749"/>
    <w:rsid w:val="1E9B1BB0"/>
    <w:rsid w:val="1EBB149E"/>
    <w:rsid w:val="1EBD20FC"/>
    <w:rsid w:val="1EEC1AB0"/>
    <w:rsid w:val="1F9FD132"/>
    <w:rsid w:val="1FB90D1C"/>
    <w:rsid w:val="1FC23B60"/>
    <w:rsid w:val="1FD7056D"/>
    <w:rsid w:val="201E7C85"/>
    <w:rsid w:val="20506F32"/>
    <w:rsid w:val="20C15ADE"/>
    <w:rsid w:val="20C16DFF"/>
    <w:rsid w:val="20C17AB1"/>
    <w:rsid w:val="20E43658"/>
    <w:rsid w:val="20FB5FF2"/>
    <w:rsid w:val="21BC03E6"/>
    <w:rsid w:val="21DD0264"/>
    <w:rsid w:val="22072FA5"/>
    <w:rsid w:val="22087682"/>
    <w:rsid w:val="222D193E"/>
    <w:rsid w:val="223B1A16"/>
    <w:rsid w:val="226F7DE3"/>
    <w:rsid w:val="228E76C9"/>
    <w:rsid w:val="2290458E"/>
    <w:rsid w:val="22BD0A0A"/>
    <w:rsid w:val="22DC789E"/>
    <w:rsid w:val="231C0BDC"/>
    <w:rsid w:val="233A20F3"/>
    <w:rsid w:val="234B3A1B"/>
    <w:rsid w:val="2377027D"/>
    <w:rsid w:val="238141AE"/>
    <w:rsid w:val="23C009EE"/>
    <w:rsid w:val="23E96DCC"/>
    <w:rsid w:val="23EA5618"/>
    <w:rsid w:val="244546D0"/>
    <w:rsid w:val="24866776"/>
    <w:rsid w:val="248F0521"/>
    <w:rsid w:val="24993E6C"/>
    <w:rsid w:val="24C12F71"/>
    <w:rsid w:val="24F33974"/>
    <w:rsid w:val="250935F3"/>
    <w:rsid w:val="25305648"/>
    <w:rsid w:val="25776D1A"/>
    <w:rsid w:val="25984379"/>
    <w:rsid w:val="25C05752"/>
    <w:rsid w:val="26302510"/>
    <w:rsid w:val="264309CB"/>
    <w:rsid w:val="265C6FE9"/>
    <w:rsid w:val="266D25D0"/>
    <w:rsid w:val="26BE23A0"/>
    <w:rsid w:val="27034F62"/>
    <w:rsid w:val="270501A7"/>
    <w:rsid w:val="27140CA5"/>
    <w:rsid w:val="27365AFB"/>
    <w:rsid w:val="275059A8"/>
    <w:rsid w:val="276567AA"/>
    <w:rsid w:val="277A6603"/>
    <w:rsid w:val="278B7E94"/>
    <w:rsid w:val="27D67D22"/>
    <w:rsid w:val="281D4813"/>
    <w:rsid w:val="282C31AA"/>
    <w:rsid w:val="2856459C"/>
    <w:rsid w:val="286C5890"/>
    <w:rsid w:val="28983767"/>
    <w:rsid w:val="28AB4F60"/>
    <w:rsid w:val="28BD067A"/>
    <w:rsid w:val="28C22023"/>
    <w:rsid w:val="28DD2D99"/>
    <w:rsid w:val="28E1429E"/>
    <w:rsid w:val="28E517D1"/>
    <w:rsid w:val="28FE73C0"/>
    <w:rsid w:val="29011423"/>
    <w:rsid w:val="291872F5"/>
    <w:rsid w:val="29366581"/>
    <w:rsid w:val="29693491"/>
    <w:rsid w:val="2985500D"/>
    <w:rsid w:val="29D835D0"/>
    <w:rsid w:val="29DD05A0"/>
    <w:rsid w:val="29FD0DDE"/>
    <w:rsid w:val="2A1A40DA"/>
    <w:rsid w:val="2ABE67EE"/>
    <w:rsid w:val="2AD10295"/>
    <w:rsid w:val="2B05011B"/>
    <w:rsid w:val="2B426936"/>
    <w:rsid w:val="2B4C2B7D"/>
    <w:rsid w:val="2B98515C"/>
    <w:rsid w:val="2B9C671C"/>
    <w:rsid w:val="2BBB7BC6"/>
    <w:rsid w:val="2BC14C24"/>
    <w:rsid w:val="2BD0294A"/>
    <w:rsid w:val="2C196687"/>
    <w:rsid w:val="2C504100"/>
    <w:rsid w:val="2C5D0B6C"/>
    <w:rsid w:val="2C5E1715"/>
    <w:rsid w:val="2C932918"/>
    <w:rsid w:val="2CD46728"/>
    <w:rsid w:val="2CE30D7F"/>
    <w:rsid w:val="2CFB3FA3"/>
    <w:rsid w:val="2D062BA2"/>
    <w:rsid w:val="2D2D61F6"/>
    <w:rsid w:val="2DD159BA"/>
    <w:rsid w:val="2DFA5122"/>
    <w:rsid w:val="2E231BD6"/>
    <w:rsid w:val="2E3C0D87"/>
    <w:rsid w:val="2E5B5B5D"/>
    <w:rsid w:val="2EFE029B"/>
    <w:rsid w:val="2F064E57"/>
    <w:rsid w:val="2F27084C"/>
    <w:rsid w:val="2F3E4FAD"/>
    <w:rsid w:val="2F5352BC"/>
    <w:rsid w:val="2FAE3E39"/>
    <w:rsid w:val="2FB72923"/>
    <w:rsid w:val="3011313C"/>
    <w:rsid w:val="30462E86"/>
    <w:rsid w:val="30763F95"/>
    <w:rsid w:val="30BA014E"/>
    <w:rsid w:val="30DB4401"/>
    <w:rsid w:val="30E35109"/>
    <w:rsid w:val="30F35D0E"/>
    <w:rsid w:val="31193CD2"/>
    <w:rsid w:val="312D53C9"/>
    <w:rsid w:val="313458DF"/>
    <w:rsid w:val="31466977"/>
    <w:rsid w:val="316106E2"/>
    <w:rsid w:val="31727F46"/>
    <w:rsid w:val="319652E9"/>
    <w:rsid w:val="319869DE"/>
    <w:rsid w:val="319D1867"/>
    <w:rsid w:val="31F61C05"/>
    <w:rsid w:val="31FD6EB3"/>
    <w:rsid w:val="32157103"/>
    <w:rsid w:val="326261B2"/>
    <w:rsid w:val="327D1271"/>
    <w:rsid w:val="329670E9"/>
    <w:rsid w:val="32AC074F"/>
    <w:rsid w:val="32C5363F"/>
    <w:rsid w:val="330D1EDF"/>
    <w:rsid w:val="33213EDF"/>
    <w:rsid w:val="334901FA"/>
    <w:rsid w:val="33564ECA"/>
    <w:rsid w:val="33B3443E"/>
    <w:rsid w:val="33C95415"/>
    <w:rsid w:val="33CB5A59"/>
    <w:rsid w:val="349B5C2D"/>
    <w:rsid w:val="34EF6B5D"/>
    <w:rsid w:val="359F5EC8"/>
    <w:rsid w:val="36713AF4"/>
    <w:rsid w:val="36A63BB8"/>
    <w:rsid w:val="36A8549F"/>
    <w:rsid w:val="36EB3214"/>
    <w:rsid w:val="36EE3D9A"/>
    <w:rsid w:val="36FF3680"/>
    <w:rsid w:val="37222014"/>
    <w:rsid w:val="373A7C61"/>
    <w:rsid w:val="376F2B58"/>
    <w:rsid w:val="37737717"/>
    <w:rsid w:val="37EA5EAF"/>
    <w:rsid w:val="38081F3F"/>
    <w:rsid w:val="386D071D"/>
    <w:rsid w:val="38AB0B78"/>
    <w:rsid w:val="38CD3D76"/>
    <w:rsid w:val="38EE3D60"/>
    <w:rsid w:val="39410785"/>
    <w:rsid w:val="39653437"/>
    <w:rsid w:val="39B0340C"/>
    <w:rsid w:val="39BC678B"/>
    <w:rsid w:val="39CB541B"/>
    <w:rsid w:val="3A502891"/>
    <w:rsid w:val="3A755E4B"/>
    <w:rsid w:val="3AA729B9"/>
    <w:rsid w:val="3AA861DC"/>
    <w:rsid w:val="3ADB32E9"/>
    <w:rsid w:val="3B046F09"/>
    <w:rsid w:val="3B4E6168"/>
    <w:rsid w:val="3BCC5345"/>
    <w:rsid w:val="3BDF250A"/>
    <w:rsid w:val="3BFB5A19"/>
    <w:rsid w:val="3C2F75BF"/>
    <w:rsid w:val="3C334566"/>
    <w:rsid w:val="3C5A0175"/>
    <w:rsid w:val="3C775B52"/>
    <w:rsid w:val="3CAC5DCE"/>
    <w:rsid w:val="3CE435FA"/>
    <w:rsid w:val="3CE731D8"/>
    <w:rsid w:val="3D0903B2"/>
    <w:rsid w:val="3D0E3F0B"/>
    <w:rsid w:val="3D210DAF"/>
    <w:rsid w:val="3D317DA1"/>
    <w:rsid w:val="3D6D651F"/>
    <w:rsid w:val="3D7369D3"/>
    <w:rsid w:val="3D744B69"/>
    <w:rsid w:val="3D8D2BCA"/>
    <w:rsid w:val="3D96526C"/>
    <w:rsid w:val="3DCD7FCE"/>
    <w:rsid w:val="3E371A56"/>
    <w:rsid w:val="3E3D431C"/>
    <w:rsid w:val="3E830C45"/>
    <w:rsid w:val="3E8405B6"/>
    <w:rsid w:val="3EE26DBB"/>
    <w:rsid w:val="3EF26BFF"/>
    <w:rsid w:val="3EF30812"/>
    <w:rsid w:val="3EF670D4"/>
    <w:rsid w:val="3F0D4C70"/>
    <w:rsid w:val="3F371D63"/>
    <w:rsid w:val="3FDE4094"/>
    <w:rsid w:val="3FE91947"/>
    <w:rsid w:val="3FF716A6"/>
    <w:rsid w:val="401148F5"/>
    <w:rsid w:val="40187166"/>
    <w:rsid w:val="406034C2"/>
    <w:rsid w:val="406F2915"/>
    <w:rsid w:val="40732517"/>
    <w:rsid w:val="407E4428"/>
    <w:rsid w:val="40BA41A8"/>
    <w:rsid w:val="40CB104B"/>
    <w:rsid w:val="41177C5C"/>
    <w:rsid w:val="41236713"/>
    <w:rsid w:val="416E34DF"/>
    <w:rsid w:val="416E4D67"/>
    <w:rsid w:val="41E25DD7"/>
    <w:rsid w:val="422B7398"/>
    <w:rsid w:val="42673D6B"/>
    <w:rsid w:val="42752453"/>
    <w:rsid w:val="427F36A6"/>
    <w:rsid w:val="42C2539C"/>
    <w:rsid w:val="4308757B"/>
    <w:rsid w:val="43161F57"/>
    <w:rsid w:val="435B5D63"/>
    <w:rsid w:val="43774387"/>
    <w:rsid w:val="43833260"/>
    <w:rsid w:val="43A2521E"/>
    <w:rsid w:val="44881B71"/>
    <w:rsid w:val="44AF51B0"/>
    <w:rsid w:val="45BF762B"/>
    <w:rsid w:val="45C24456"/>
    <w:rsid w:val="4627384B"/>
    <w:rsid w:val="464113DB"/>
    <w:rsid w:val="46506A88"/>
    <w:rsid w:val="46767162"/>
    <w:rsid w:val="46C80E9F"/>
    <w:rsid w:val="46CD47D9"/>
    <w:rsid w:val="46D915E2"/>
    <w:rsid w:val="46ED1BD3"/>
    <w:rsid w:val="46FD47F2"/>
    <w:rsid w:val="476A4230"/>
    <w:rsid w:val="47AE0FD0"/>
    <w:rsid w:val="47BD494E"/>
    <w:rsid w:val="47C36F3D"/>
    <w:rsid w:val="47E660E6"/>
    <w:rsid w:val="48A07E65"/>
    <w:rsid w:val="48C05E36"/>
    <w:rsid w:val="48C32827"/>
    <w:rsid w:val="48D90668"/>
    <w:rsid w:val="490C0397"/>
    <w:rsid w:val="494D1C60"/>
    <w:rsid w:val="49644B75"/>
    <w:rsid w:val="498B6E27"/>
    <w:rsid w:val="49971B9C"/>
    <w:rsid w:val="49C6298A"/>
    <w:rsid w:val="4A213E76"/>
    <w:rsid w:val="4A460E86"/>
    <w:rsid w:val="4A5404A3"/>
    <w:rsid w:val="4A6C127E"/>
    <w:rsid w:val="4A730D45"/>
    <w:rsid w:val="4A870897"/>
    <w:rsid w:val="4A972259"/>
    <w:rsid w:val="4B206C37"/>
    <w:rsid w:val="4B393C8C"/>
    <w:rsid w:val="4B3E11A6"/>
    <w:rsid w:val="4B8C7C92"/>
    <w:rsid w:val="4C3A2302"/>
    <w:rsid w:val="4C3E55D3"/>
    <w:rsid w:val="4C543018"/>
    <w:rsid w:val="4D192E86"/>
    <w:rsid w:val="4D19776D"/>
    <w:rsid w:val="4D4256AC"/>
    <w:rsid w:val="4D495CBF"/>
    <w:rsid w:val="4DBC169D"/>
    <w:rsid w:val="4E265036"/>
    <w:rsid w:val="4E504A9C"/>
    <w:rsid w:val="4E683A23"/>
    <w:rsid w:val="4E6E457E"/>
    <w:rsid w:val="4E906C06"/>
    <w:rsid w:val="4EA72E04"/>
    <w:rsid w:val="4EBA748D"/>
    <w:rsid w:val="4EE464E3"/>
    <w:rsid w:val="4EEE1293"/>
    <w:rsid w:val="4F3237E7"/>
    <w:rsid w:val="4F3D55B6"/>
    <w:rsid w:val="4F61278A"/>
    <w:rsid w:val="4F715459"/>
    <w:rsid w:val="4F98092F"/>
    <w:rsid w:val="4FC304A3"/>
    <w:rsid w:val="4FEE6514"/>
    <w:rsid w:val="50177DE4"/>
    <w:rsid w:val="503F2B87"/>
    <w:rsid w:val="50A50403"/>
    <w:rsid w:val="50BE3E13"/>
    <w:rsid w:val="50C378E8"/>
    <w:rsid w:val="50CD1F1D"/>
    <w:rsid w:val="50DE7CF7"/>
    <w:rsid w:val="51FED7AB"/>
    <w:rsid w:val="52170E41"/>
    <w:rsid w:val="52347938"/>
    <w:rsid w:val="526A4EF8"/>
    <w:rsid w:val="527D5D13"/>
    <w:rsid w:val="52A15146"/>
    <w:rsid w:val="52AD2E3E"/>
    <w:rsid w:val="52C035AB"/>
    <w:rsid w:val="52C224AA"/>
    <w:rsid w:val="52CB713B"/>
    <w:rsid w:val="52E13B36"/>
    <w:rsid w:val="52EF78C7"/>
    <w:rsid w:val="52FB22F7"/>
    <w:rsid w:val="53022E1B"/>
    <w:rsid w:val="532954EF"/>
    <w:rsid w:val="53870ED2"/>
    <w:rsid w:val="53BF34E7"/>
    <w:rsid w:val="53EF7ECF"/>
    <w:rsid w:val="53F6125B"/>
    <w:rsid w:val="54086662"/>
    <w:rsid w:val="5410763E"/>
    <w:rsid w:val="544018AC"/>
    <w:rsid w:val="547D0D9E"/>
    <w:rsid w:val="549FE28B"/>
    <w:rsid w:val="54A02036"/>
    <w:rsid w:val="54C67667"/>
    <w:rsid w:val="54FF45FD"/>
    <w:rsid w:val="54FF5787"/>
    <w:rsid w:val="55067662"/>
    <w:rsid w:val="552F0248"/>
    <w:rsid w:val="553550E4"/>
    <w:rsid w:val="55476ED5"/>
    <w:rsid w:val="559B0E3E"/>
    <w:rsid w:val="560544A6"/>
    <w:rsid w:val="563D3DC6"/>
    <w:rsid w:val="56471F06"/>
    <w:rsid w:val="56BB53E3"/>
    <w:rsid w:val="571B0FAB"/>
    <w:rsid w:val="572F62DC"/>
    <w:rsid w:val="575734D7"/>
    <w:rsid w:val="57777292"/>
    <w:rsid w:val="5789183D"/>
    <w:rsid w:val="57A6605D"/>
    <w:rsid w:val="57A66DB5"/>
    <w:rsid w:val="57B82504"/>
    <w:rsid w:val="57BD7D71"/>
    <w:rsid w:val="57CA6EFE"/>
    <w:rsid w:val="583A5D01"/>
    <w:rsid w:val="58664290"/>
    <w:rsid w:val="58A94EF9"/>
    <w:rsid w:val="58F323A8"/>
    <w:rsid w:val="59800880"/>
    <w:rsid w:val="59DB418E"/>
    <w:rsid w:val="59E557BF"/>
    <w:rsid w:val="59EE1077"/>
    <w:rsid w:val="59F2660C"/>
    <w:rsid w:val="59FF844A"/>
    <w:rsid w:val="5B40698D"/>
    <w:rsid w:val="5B407184"/>
    <w:rsid w:val="5B4D0455"/>
    <w:rsid w:val="5B4F1929"/>
    <w:rsid w:val="5B8C6F0B"/>
    <w:rsid w:val="5B8E57B2"/>
    <w:rsid w:val="5BB85BD6"/>
    <w:rsid w:val="5BD462C2"/>
    <w:rsid w:val="5BF5E1C5"/>
    <w:rsid w:val="5C7B6C45"/>
    <w:rsid w:val="5CA57B9B"/>
    <w:rsid w:val="5CE2E127"/>
    <w:rsid w:val="5D657721"/>
    <w:rsid w:val="5D666125"/>
    <w:rsid w:val="5D853899"/>
    <w:rsid w:val="5D8C4B35"/>
    <w:rsid w:val="5D9634A6"/>
    <w:rsid w:val="5DBC3B91"/>
    <w:rsid w:val="5DF534EC"/>
    <w:rsid w:val="5DF7285F"/>
    <w:rsid w:val="5E14720E"/>
    <w:rsid w:val="5E2A296A"/>
    <w:rsid w:val="5E2A37B3"/>
    <w:rsid w:val="5E6E102A"/>
    <w:rsid w:val="5EA42084"/>
    <w:rsid w:val="5EFA7CCD"/>
    <w:rsid w:val="5F233CBE"/>
    <w:rsid w:val="5F461DC4"/>
    <w:rsid w:val="5F5479EC"/>
    <w:rsid w:val="5FB038BD"/>
    <w:rsid w:val="5FDE2836"/>
    <w:rsid w:val="5FF81249"/>
    <w:rsid w:val="6035576B"/>
    <w:rsid w:val="60434C82"/>
    <w:rsid w:val="608F3E4F"/>
    <w:rsid w:val="61D610BE"/>
    <w:rsid w:val="622350B8"/>
    <w:rsid w:val="622A7A3E"/>
    <w:rsid w:val="624022EE"/>
    <w:rsid w:val="625433E6"/>
    <w:rsid w:val="62601622"/>
    <w:rsid w:val="627024A7"/>
    <w:rsid w:val="62AE6960"/>
    <w:rsid w:val="62B7386D"/>
    <w:rsid w:val="62E1394F"/>
    <w:rsid w:val="63574DA0"/>
    <w:rsid w:val="639950F6"/>
    <w:rsid w:val="63E14500"/>
    <w:rsid w:val="63FA0D03"/>
    <w:rsid w:val="647B6A82"/>
    <w:rsid w:val="64B33B78"/>
    <w:rsid w:val="64BB69CE"/>
    <w:rsid w:val="65030306"/>
    <w:rsid w:val="650B2895"/>
    <w:rsid w:val="653A114A"/>
    <w:rsid w:val="65AC772C"/>
    <w:rsid w:val="65B237AA"/>
    <w:rsid w:val="65B31EA2"/>
    <w:rsid w:val="65D03140"/>
    <w:rsid w:val="65D92578"/>
    <w:rsid w:val="663471CE"/>
    <w:rsid w:val="6659656E"/>
    <w:rsid w:val="6683008D"/>
    <w:rsid w:val="6688029D"/>
    <w:rsid w:val="66AA101C"/>
    <w:rsid w:val="66AE12D1"/>
    <w:rsid w:val="672339DD"/>
    <w:rsid w:val="67764B30"/>
    <w:rsid w:val="67933031"/>
    <w:rsid w:val="67AD336E"/>
    <w:rsid w:val="67B9039B"/>
    <w:rsid w:val="67C02F7C"/>
    <w:rsid w:val="67C958CC"/>
    <w:rsid w:val="67D41C8A"/>
    <w:rsid w:val="68473954"/>
    <w:rsid w:val="686210CD"/>
    <w:rsid w:val="687525A9"/>
    <w:rsid w:val="687C6F73"/>
    <w:rsid w:val="68AE64E1"/>
    <w:rsid w:val="68B9496F"/>
    <w:rsid w:val="68CB57BB"/>
    <w:rsid w:val="68ED6024"/>
    <w:rsid w:val="68FD676D"/>
    <w:rsid w:val="691B341A"/>
    <w:rsid w:val="69614022"/>
    <w:rsid w:val="69764CF2"/>
    <w:rsid w:val="69B559D9"/>
    <w:rsid w:val="69F07325"/>
    <w:rsid w:val="6A132582"/>
    <w:rsid w:val="6A2037CF"/>
    <w:rsid w:val="6A2A6939"/>
    <w:rsid w:val="6A3A41F2"/>
    <w:rsid w:val="6A3B0DCB"/>
    <w:rsid w:val="6A3D65F0"/>
    <w:rsid w:val="6A8F5170"/>
    <w:rsid w:val="6A9609F3"/>
    <w:rsid w:val="6A983CD8"/>
    <w:rsid w:val="6ABB5DFE"/>
    <w:rsid w:val="6ABF3838"/>
    <w:rsid w:val="6AD1572B"/>
    <w:rsid w:val="6AE25A53"/>
    <w:rsid w:val="6B091946"/>
    <w:rsid w:val="6B7E71F8"/>
    <w:rsid w:val="6B950F02"/>
    <w:rsid w:val="6BEF1EFA"/>
    <w:rsid w:val="6BF87E9C"/>
    <w:rsid w:val="6C2F745C"/>
    <w:rsid w:val="6C4F7022"/>
    <w:rsid w:val="6C955A5F"/>
    <w:rsid w:val="6D020600"/>
    <w:rsid w:val="6D2A0799"/>
    <w:rsid w:val="6DD91513"/>
    <w:rsid w:val="6DEC194A"/>
    <w:rsid w:val="6E432E61"/>
    <w:rsid w:val="6E4625F9"/>
    <w:rsid w:val="6E6365D5"/>
    <w:rsid w:val="6E702E58"/>
    <w:rsid w:val="6E8E7933"/>
    <w:rsid w:val="6E9A6942"/>
    <w:rsid w:val="6EB25E9E"/>
    <w:rsid w:val="6EBA7765"/>
    <w:rsid w:val="6EDE3133"/>
    <w:rsid w:val="6F6F6B61"/>
    <w:rsid w:val="6F9C643C"/>
    <w:rsid w:val="6FE33B47"/>
    <w:rsid w:val="704B4499"/>
    <w:rsid w:val="705C44DC"/>
    <w:rsid w:val="70610C0F"/>
    <w:rsid w:val="71B8206F"/>
    <w:rsid w:val="71BF5218"/>
    <w:rsid w:val="71F51076"/>
    <w:rsid w:val="720B2EA5"/>
    <w:rsid w:val="720D121D"/>
    <w:rsid w:val="721F4D3D"/>
    <w:rsid w:val="72690350"/>
    <w:rsid w:val="72C81D6C"/>
    <w:rsid w:val="73062B4A"/>
    <w:rsid w:val="7324209F"/>
    <w:rsid w:val="73290AF4"/>
    <w:rsid w:val="733B6DA5"/>
    <w:rsid w:val="734134B5"/>
    <w:rsid w:val="734B18DD"/>
    <w:rsid w:val="73C76940"/>
    <w:rsid w:val="73CF126D"/>
    <w:rsid w:val="73E10EB1"/>
    <w:rsid w:val="73FD0632"/>
    <w:rsid w:val="741377D5"/>
    <w:rsid w:val="74461DD2"/>
    <w:rsid w:val="747565FD"/>
    <w:rsid w:val="748E0F3E"/>
    <w:rsid w:val="7541616E"/>
    <w:rsid w:val="754E74B8"/>
    <w:rsid w:val="757DE146"/>
    <w:rsid w:val="758037FC"/>
    <w:rsid w:val="75B07169"/>
    <w:rsid w:val="75CA745B"/>
    <w:rsid w:val="75DD7AA0"/>
    <w:rsid w:val="76021C43"/>
    <w:rsid w:val="76091F0F"/>
    <w:rsid w:val="76555134"/>
    <w:rsid w:val="7685115E"/>
    <w:rsid w:val="76A80EBB"/>
    <w:rsid w:val="76C161F5"/>
    <w:rsid w:val="76F00A79"/>
    <w:rsid w:val="770565F6"/>
    <w:rsid w:val="77516007"/>
    <w:rsid w:val="777556B0"/>
    <w:rsid w:val="77892645"/>
    <w:rsid w:val="77A868D2"/>
    <w:rsid w:val="77C92825"/>
    <w:rsid w:val="77CF8DE1"/>
    <w:rsid w:val="77D62B99"/>
    <w:rsid w:val="77DC6C65"/>
    <w:rsid w:val="77F8B968"/>
    <w:rsid w:val="7813061F"/>
    <w:rsid w:val="787A38E9"/>
    <w:rsid w:val="78864DAC"/>
    <w:rsid w:val="788A2DEA"/>
    <w:rsid w:val="78F2585F"/>
    <w:rsid w:val="79744701"/>
    <w:rsid w:val="797E45A6"/>
    <w:rsid w:val="79847BFA"/>
    <w:rsid w:val="79894ABC"/>
    <w:rsid w:val="79BA00BA"/>
    <w:rsid w:val="79E749E3"/>
    <w:rsid w:val="79E82F05"/>
    <w:rsid w:val="79FD7DFD"/>
    <w:rsid w:val="7A2B3826"/>
    <w:rsid w:val="7A5161FA"/>
    <w:rsid w:val="7A9B38A8"/>
    <w:rsid w:val="7AD904CC"/>
    <w:rsid w:val="7B55591E"/>
    <w:rsid w:val="7BDF21FE"/>
    <w:rsid w:val="7BEFCF07"/>
    <w:rsid w:val="7BFE9EFA"/>
    <w:rsid w:val="7C11228B"/>
    <w:rsid w:val="7C1235A7"/>
    <w:rsid w:val="7C144ACD"/>
    <w:rsid w:val="7C6E88CA"/>
    <w:rsid w:val="7C74466A"/>
    <w:rsid w:val="7CCC60FA"/>
    <w:rsid w:val="7D001CE7"/>
    <w:rsid w:val="7D0D7191"/>
    <w:rsid w:val="7DF0728D"/>
    <w:rsid w:val="7E154CF5"/>
    <w:rsid w:val="7E1C3023"/>
    <w:rsid w:val="7E3A0169"/>
    <w:rsid w:val="7E480EC1"/>
    <w:rsid w:val="7E613F9A"/>
    <w:rsid w:val="7E952ECD"/>
    <w:rsid w:val="7EDA0C80"/>
    <w:rsid w:val="7EFFBA63"/>
    <w:rsid w:val="7F284D50"/>
    <w:rsid w:val="7F517EBB"/>
    <w:rsid w:val="7F6435E9"/>
    <w:rsid w:val="7F68256C"/>
    <w:rsid w:val="7F730E18"/>
    <w:rsid w:val="7F7D58EC"/>
    <w:rsid w:val="7FBE0697"/>
    <w:rsid w:val="7FD965AD"/>
    <w:rsid w:val="7FDC380E"/>
    <w:rsid w:val="7FFF9B73"/>
    <w:rsid w:val="83F3A76C"/>
    <w:rsid w:val="8FFBE60B"/>
    <w:rsid w:val="9D4B5CFF"/>
    <w:rsid w:val="9DD71931"/>
    <w:rsid w:val="AFB76923"/>
    <w:rsid w:val="AFBF092C"/>
    <w:rsid w:val="B6FB42EC"/>
    <w:rsid w:val="BA7B23C6"/>
    <w:rsid w:val="BDFFAA58"/>
    <w:rsid w:val="BFEA2552"/>
    <w:rsid w:val="BFEAC16D"/>
    <w:rsid w:val="BFFEE8B8"/>
    <w:rsid w:val="C3FDFF2B"/>
    <w:rsid w:val="C77BE849"/>
    <w:rsid w:val="CF7F16F9"/>
    <w:rsid w:val="CFF7E9C3"/>
    <w:rsid w:val="E9F71EFB"/>
    <w:rsid w:val="EB5404BE"/>
    <w:rsid w:val="F13D8A9C"/>
    <w:rsid w:val="F9DB4545"/>
    <w:rsid w:val="FAD5DDCF"/>
    <w:rsid w:val="FCE71195"/>
    <w:rsid w:val="FD3DBFBF"/>
    <w:rsid w:val="FD7D6487"/>
    <w:rsid w:val="FDB713A7"/>
    <w:rsid w:val="FE734873"/>
    <w:rsid w:val="FEDDF1D3"/>
    <w:rsid w:val="FF7FDA29"/>
    <w:rsid w:val="FFFF5D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qFormat/>
    <w:uiPriority w:val="99"/>
    <w:pPr>
      <w:keepNext/>
      <w:keepLines/>
      <w:spacing w:before="340" w:after="330" w:line="576" w:lineRule="auto"/>
      <w:outlineLvl w:val="0"/>
    </w:pPr>
    <w:rPr>
      <w:b/>
      <w:kern w:val="44"/>
      <w:sz w:val="44"/>
    </w:rPr>
  </w:style>
  <w:style w:type="paragraph" w:styleId="5">
    <w:name w:val="heading 2"/>
    <w:basedOn w:val="1"/>
    <w:next w:val="1"/>
    <w:link w:val="17"/>
    <w:qFormat/>
    <w:uiPriority w:val="99"/>
    <w:pPr>
      <w:keepNext/>
      <w:keepLines/>
      <w:spacing w:before="260" w:after="260" w:line="413" w:lineRule="auto"/>
      <w:outlineLvl w:val="1"/>
    </w:pPr>
    <w:rPr>
      <w:rFonts w:ascii="DejaVu Sans" w:hAnsi="DejaVu Sans" w:eastAsia="方正黑体_GBK"/>
      <w:b/>
      <w:kern w:val="0"/>
      <w:sz w:val="32"/>
      <w:szCs w:val="20"/>
    </w:rPr>
  </w:style>
  <w:style w:type="paragraph" w:styleId="6">
    <w:name w:val="heading 4"/>
    <w:basedOn w:val="1"/>
    <w:next w:val="1"/>
    <w:unhideWhenUsed/>
    <w:qFormat/>
    <w:uiPriority w:val="0"/>
    <w:pPr>
      <w:keepNext/>
      <w:keepLines/>
      <w:spacing w:before="280" w:after="290" w:line="376" w:lineRule="auto"/>
      <w:ind w:firstLine="250" w:firstLineChars="250"/>
      <w:outlineLvl w:val="3"/>
    </w:pPr>
    <w:rPr>
      <w:rFonts w:ascii="Cambria" w:hAnsi="Cambria" w:cs="Cambria"/>
      <w:b/>
      <w:bCs/>
      <w:sz w:val="28"/>
      <w:szCs w:val="28"/>
    </w:rPr>
  </w:style>
  <w:style w:type="character" w:default="1" w:styleId="13">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99"/>
    <w:pPr>
      <w:spacing w:after="120"/>
    </w:pPr>
  </w:style>
  <w:style w:type="paragraph" w:styleId="3">
    <w:name w:val="footer"/>
    <w:basedOn w:val="1"/>
    <w:qFormat/>
    <w:uiPriority w:val="99"/>
    <w:pPr>
      <w:tabs>
        <w:tab w:val="center" w:pos="4153"/>
        <w:tab w:val="right" w:pos="8306"/>
      </w:tabs>
      <w:snapToGrid w:val="0"/>
      <w:jc w:val="left"/>
    </w:pPr>
    <w:rPr>
      <w:sz w:val="18"/>
      <w:szCs w:val="18"/>
    </w:rPr>
  </w:style>
  <w:style w:type="paragraph" w:styleId="7">
    <w:name w:val="Normal Indent"/>
    <w:basedOn w:val="1"/>
    <w:qFormat/>
    <w:uiPriority w:val="0"/>
    <w:pPr>
      <w:ind w:firstLine="200" w:firstLineChars="200"/>
    </w:pPr>
    <w:rPr>
      <w:rFonts w:ascii="宋体" w:hAnsi="宋体"/>
      <w:sz w:val="28"/>
      <w:szCs w:val="28"/>
    </w:rPr>
  </w:style>
  <w:style w:type="paragraph" w:styleId="8">
    <w:name w:val="Body Text Indent"/>
    <w:basedOn w:val="1"/>
    <w:qFormat/>
    <w:uiPriority w:val="0"/>
    <w:pPr>
      <w:spacing w:beforeLines="0" w:afterLines="0"/>
      <w:ind w:firstLine="660"/>
    </w:pPr>
    <w:rPr>
      <w:rFonts w:hint="eastAsia" w:ascii="宋体" w:hAnsi="Calibri" w:eastAsia="宋体" w:cs="Times New Roman"/>
      <w:sz w:val="32"/>
      <w:szCs w:val="22"/>
    </w:rPr>
  </w:style>
  <w:style w:type="paragraph" w:styleId="9">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9"/>
    <w:qFormat/>
    <w:uiPriority w:val="99"/>
    <w:pPr>
      <w:snapToGrid w:val="0"/>
      <w:jc w:val="left"/>
    </w:pPr>
    <w:rPr>
      <w:rFonts w:cs="宋体"/>
      <w:szCs w:val="24"/>
    </w:rPr>
  </w:style>
  <w:style w:type="paragraph" w:styleId="11">
    <w:name w:val="Body Text First Indent 2"/>
    <w:basedOn w:val="8"/>
    <w:qFormat/>
    <w:uiPriority w:val="0"/>
    <w:pPr>
      <w:spacing w:beforeLines="0" w:after="120" w:afterLines="0"/>
      <w:ind w:firstLine="872"/>
    </w:pPr>
    <w:rPr>
      <w:rFonts w:hint="eastAsia" w:ascii="Times New Roman" w:eastAsia="Times New Roman"/>
      <w:sz w:val="32"/>
    </w:rPr>
  </w:style>
  <w:style w:type="paragraph" w:customStyle="1" w:styleId="14">
    <w:name w:val="WPSOffice手动目录 1"/>
    <w:qFormat/>
    <w:uiPriority w:val="99"/>
    <w:rPr>
      <w:rFonts w:ascii="Times New Roman" w:hAnsi="Times New Roman" w:eastAsia="宋体" w:cs="Times New Roman"/>
      <w:kern w:val="0"/>
      <w:sz w:val="20"/>
      <w:szCs w:val="20"/>
      <w:lang w:val="en-US" w:eastAsia="zh-CN" w:bidi="ar-SA"/>
    </w:rPr>
  </w:style>
  <w:style w:type="paragraph" w:customStyle="1" w:styleId="15">
    <w:name w:val="WPSOffice手动目录 2"/>
    <w:qFormat/>
    <w:uiPriority w:val="99"/>
    <w:pPr>
      <w:ind w:left="200" w:leftChars="200"/>
    </w:pPr>
    <w:rPr>
      <w:rFonts w:ascii="Times New Roman" w:hAnsi="Times New Roman" w:eastAsia="宋体" w:cs="Times New Roman"/>
      <w:kern w:val="0"/>
      <w:sz w:val="20"/>
      <w:szCs w:val="20"/>
      <w:lang w:val="en-US" w:eastAsia="zh-CN" w:bidi="ar-SA"/>
    </w:rPr>
  </w:style>
  <w:style w:type="paragraph" w:customStyle="1" w:styleId="16">
    <w:name w:val="正文 A"/>
    <w:qFormat/>
    <w:uiPriority w:val="99"/>
    <w:pPr>
      <w:widowControl w:val="0"/>
      <w:jc w:val="both"/>
    </w:pPr>
    <w:rPr>
      <w:rFonts w:ascii="Calibri" w:hAnsi="Calibri" w:eastAsia="宋体" w:cs="Calibri"/>
      <w:color w:val="000000"/>
      <w:kern w:val="2"/>
      <w:sz w:val="21"/>
      <w:szCs w:val="21"/>
      <w:u w:color="000000"/>
      <w:lang w:val="en-US" w:eastAsia="zh-CN" w:bidi="ar-SA"/>
    </w:rPr>
  </w:style>
  <w:style w:type="character" w:customStyle="1" w:styleId="17">
    <w:name w:val="Heading 2 Char"/>
    <w:basedOn w:val="13"/>
    <w:link w:val="5"/>
    <w:qFormat/>
    <w:locked/>
    <w:uiPriority w:val="99"/>
    <w:rPr>
      <w:rFonts w:ascii="DejaVu Sans" w:hAnsi="DejaVu Sans" w:eastAsia="方正黑体_GBK"/>
      <w:b/>
      <w:kern w:val="0"/>
      <w:sz w:val="32"/>
      <w:szCs w:val="20"/>
    </w:rPr>
  </w:style>
  <w:style w:type="paragraph" w:customStyle="1" w:styleId="18">
    <w:name w:val="Body Text First Indent 21"/>
    <w:basedOn w:val="19"/>
    <w:qFormat/>
    <w:uiPriority w:val="99"/>
    <w:pPr>
      <w:spacing w:beforeAutospacing="1"/>
      <w:ind w:firstLine="420" w:firstLineChars="200"/>
    </w:pPr>
    <w:rPr>
      <w:rFonts w:ascii="Times New Roman" w:hAnsi="Times New Roman"/>
    </w:rPr>
  </w:style>
  <w:style w:type="paragraph" w:customStyle="1" w:styleId="19">
    <w:name w:val="Body Text Indent1"/>
    <w:basedOn w:val="1"/>
    <w:qFormat/>
    <w:uiPriority w:val="99"/>
    <w:pPr>
      <w:ind w:left="420" w:leftChars="200"/>
    </w:pPr>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admin</dc:creator>
  <cp:lastModifiedBy>杨恩道</cp:lastModifiedBy>
  <cp:lastPrinted>2021-11-11T04:28:00Z</cp:lastPrinted>
  <dcterms:modified xsi:type="dcterms:W3CDTF">2021-11-11T08:04:39Z</dcterms:modified>
  <dc:title>云南省“十四五”就业促进规划</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DC0EBE8B517241B2A4FC37ED05D3062F</vt:lpwstr>
  </property>
</Properties>
</file>