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ind w:firstLine="0" w:firstLineChars="0"/>
        <w:jc w:val="center"/>
        <w:rPr>
          <w:rFonts w:hint="eastAsia" w:ascii="微软雅黑" w:hAnsi="微软雅黑" w:eastAsia="微软雅黑" w:cstheme="majorBidi"/>
          <w:b/>
          <w:bCs/>
          <w:spacing w:val="-20"/>
          <w:kern w:val="28"/>
          <w:sz w:val="30"/>
          <w:szCs w:val="30"/>
        </w:rPr>
      </w:pPr>
      <w:r>
        <w:rPr>
          <w:rFonts w:hint="eastAsia" w:ascii="微软雅黑" w:hAnsi="微软雅黑" w:eastAsia="微软雅黑" w:cstheme="majorBidi"/>
          <w:b/>
          <w:bCs/>
          <w:spacing w:val="-20"/>
          <w:kern w:val="28"/>
          <w:sz w:val="30"/>
          <w:szCs w:val="30"/>
        </w:rPr>
        <w:t>网络创业培训教学辅助平台（服务）</w:t>
      </w:r>
    </w:p>
    <w:p>
      <w:pPr>
        <w:spacing w:line="400" w:lineRule="exact"/>
        <w:ind w:firstLine="0" w:firstLineChars="0"/>
        <w:jc w:val="center"/>
        <w:rPr>
          <w:rFonts w:ascii="微软雅黑" w:hAnsi="微软雅黑" w:eastAsia="微软雅黑" w:cs="仿宋_GB2312"/>
          <w:b/>
          <w:bCs/>
          <w:sz w:val="30"/>
          <w:szCs w:val="30"/>
        </w:rPr>
      </w:pPr>
      <w:r>
        <w:rPr>
          <w:rFonts w:hint="eastAsia" w:ascii="微软雅黑" w:hAnsi="微软雅黑" w:eastAsia="微软雅黑" w:cstheme="majorBidi"/>
          <w:b/>
          <w:bCs/>
          <w:spacing w:val="-20"/>
          <w:kern w:val="28"/>
          <w:sz w:val="30"/>
          <w:szCs w:val="30"/>
        </w:rPr>
        <w:t>采购需求书关键技术点</w:t>
      </w:r>
      <w:bookmarkStart w:id="0" w:name="_GoBack"/>
      <w:bookmarkEnd w:id="0"/>
    </w:p>
    <w:p>
      <w:pPr>
        <w:spacing w:line="300" w:lineRule="exact"/>
        <w:ind w:firstLine="420"/>
        <w:rPr>
          <w:rFonts w:hint="eastAsia" w:ascii="微软雅黑" w:hAnsi="微软雅黑" w:eastAsia="微软雅黑"/>
          <w:sz w:val="21"/>
          <w:szCs w:val="21"/>
        </w:rPr>
      </w:pPr>
    </w:p>
    <w:p>
      <w:pPr>
        <w:spacing w:line="360" w:lineRule="exact"/>
        <w:ind w:firstLine="420"/>
        <w:jc w:val="left"/>
        <w:rPr>
          <w:rFonts w:hint="eastAsia" w:ascii="微软雅黑" w:hAnsi="微软雅黑" w:eastAsia="微软雅黑"/>
          <w:sz w:val="21"/>
          <w:szCs w:val="21"/>
        </w:rPr>
      </w:pPr>
      <w:r>
        <w:rPr>
          <w:rFonts w:hint="eastAsia" w:ascii="微软雅黑" w:hAnsi="微软雅黑" w:eastAsia="微软雅黑"/>
          <w:sz w:val="21"/>
          <w:szCs w:val="21"/>
        </w:rPr>
        <w:t>网络创业培训教学辅助平台（以下简称“教学辅助平台”），是指自主开发并拥有知识产权的服务于网络创业培训，特别是电商课程教学活动的平台系统，包括但不限于模拟商城、供销系统、在线学习平台和培训管理系统四个功能模块，且四个功能模块间实现用户账号互通。根据网络创业培训课程标准，拟定教学辅助平台（服务）采购需求书关键技术点建议供参考，但具体要求由试点地区严格按照当地政府采购要求及创业培训实际需求拟定。</w:t>
      </w:r>
    </w:p>
    <w:p>
      <w:pPr>
        <w:spacing w:line="300" w:lineRule="exact"/>
        <w:ind w:firstLine="420"/>
        <w:rPr>
          <w:rFonts w:ascii="微软雅黑" w:hAnsi="微软雅黑" w:eastAsia="微软雅黑"/>
          <w:sz w:val="21"/>
          <w:szCs w:val="21"/>
        </w:rPr>
      </w:pPr>
    </w:p>
    <w:p>
      <w:pPr>
        <w:spacing w:line="300" w:lineRule="exact"/>
        <w:ind w:firstLine="420"/>
        <w:rPr>
          <w:rFonts w:hint="eastAsia" w:ascii="微软雅黑" w:hAnsi="微软雅黑" w:eastAsia="微软雅黑"/>
          <w:b/>
          <w:sz w:val="21"/>
          <w:szCs w:val="21"/>
        </w:rPr>
      </w:pPr>
      <w:r>
        <w:rPr>
          <w:rFonts w:hint="eastAsia" w:ascii="微软雅黑" w:hAnsi="微软雅黑" w:eastAsia="微软雅黑"/>
          <w:b/>
          <w:sz w:val="21"/>
          <w:szCs w:val="21"/>
        </w:rPr>
        <w:t>一、项目概述</w:t>
      </w:r>
    </w:p>
    <w:p>
      <w:pPr>
        <w:spacing w:line="300" w:lineRule="exact"/>
        <w:ind w:firstLine="420"/>
        <w:rPr>
          <w:rFonts w:hint="eastAsia" w:ascii="微软雅黑" w:hAnsi="微软雅黑" w:eastAsia="微软雅黑"/>
          <w:b/>
          <w:sz w:val="21"/>
          <w:szCs w:val="21"/>
        </w:rPr>
      </w:pPr>
      <w:r>
        <w:rPr>
          <w:rFonts w:hint="eastAsia" w:ascii="微软雅黑" w:hAnsi="微软雅黑" w:eastAsia="微软雅黑"/>
          <w:b/>
          <w:sz w:val="21"/>
          <w:szCs w:val="21"/>
        </w:rPr>
        <w:t>1.1 开发原则</w:t>
      </w:r>
    </w:p>
    <w:p>
      <w:pPr>
        <w:spacing w:line="300" w:lineRule="exact"/>
        <w:ind w:firstLine="420"/>
        <w:rPr>
          <w:rFonts w:hint="eastAsia" w:ascii="微软雅黑" w:hAnsi="微软雅黑" w:eastAsia="微软雅黑"/>
          <w:sz w:val="21"/>
          <w:szCs w:val="21"/>
        </w:rPr>
      </w:pPr>
      <w:r>
        <w:rPr>
          <w:rFonts w:hint="eastAsia" w:ascii="微软雅黑" w:hAnsi="微软雅黑" w:eastAsia="微软雅黑"/>
          <w:sz w:val="21"/>
          <w:szCs w:val="21"/>
        </w:rPr>
        <w:t>在教学辅助平台设计中，建议遵循以下开发原则：</w:t>
      </w:r>
    </w:p>
    <w:p>
      <w:pPr>
        <w:spacing w:line="300" w:lineRule="exact"/>
        <w:ind w:firstLine="420"/>
        <w:rPr>
          <w:rFonts w:hint="eastAsia" w:ascii="微软雅黑" w:hAnsi="微软雅黑" w:eastAsia="微软雅黑"/>
          <w:sz w:val="21"/>
          <w:szCs w:val="21"/>
        </w:rPr>
      </w:pPr>
      <w:r>
        <w:rPr>
          <w:rFonts w:hint="eastAsia" w:ascii="微软雅黑" w:hAnsi="微软雅黑" w:eastAsia="微软雅黑"/>
          <w:sz w:val="21"/>
          <w:szCs w:val="21"/>
        </w:rPr>
        <w:t>1.1.1可扩展性原则。考虑网络扩展及平台二次开发等需要，基于教学辅助平台数据库表结构，建议支持未来出现的新业务带来的数据种类、数据量及并发访问量的增长；支持新建业务系统或数据服务类型的不断增长和变化，并具有持续改进能力；软件可扩展，可更新。</w:t>
      </w:r>
    </w:p>
    <w:p>
      <w:pPr>
        <w:spacing w:line="300" w:lineRule="exact"/>
        <w:ind w:firstLine="420"/>
        <w:rPr>
          <w:rFonts w:hint="eastAsia" w:ascii="微软雅黑" w:hAnsi="微软雅黑" w:eastAsia="微软雅黑"/>
          <w:sz w:val="21"/>
          <w:szCs w:val="21"/>
        </w:rPr>
      </w:pPr>
      <w:r>
        <w:rPr>
          <w:rFonts w:hint="eastAsia" w:ascii="微软雅黑" w:hAnsi="微软雅黑" w:eastAsia="微软雅黑"/>
          <w:sz w:val="21"/>
          <w:szCs w:val="21"/>
        </w:rPr>
        <w:t>1.1.2共享性原则。考虑到部指导中心即将开发创业培训工作管理系统，建议教学辅助平台开发时与部指导中心创业培训工作管理系统实现互联互通、数据共享。在系统间数据交换过程中确保信息的不丢失、不重复、不被篡改，确保数据交换的安全、及时和准确。</w:t>
      </w:r>
    </w:p>
    <w:p>
      <w:pPr>
        <w:spacing w:line="300" w:lineRule="exact"/>
        <w:ind w:firstLine="420"/>
        <w:rPr>
          <w:rFonts w:hint="eastAsia" w:ascii="微软雅黑" w:hAnsi="微软雅黑" w:eastAsia="微软雅黑"/>
          <w:sz w:val="21"/>
          <w:szCs w:val="21"/>
        </w:rPr>
      </w:pPr>
      <w:r>
        <w:rPr>
          <w:rFonts w:hint="eastAsia" w:ascii="微软雅黑" w:hAnsi="微软雅黑" w:eastAsia="微软雅黑"/>
          <w:sz w:val="21"/>
          <w:szCs w:val="21"/>
        </w:rPr>
        <w:t>1.1.3可靠性原则。教学辅助平台设计、开发和应用时，建议从系统结构、技术措施、技术服务和维护相应能力等方面综合考虑，采用成熟、稳定、流行、先进的操作系统、数据库、网络协议、中间件等，确保系统较高的性能和较低的故障率。</w:t>
      </w:r>
    </w:p>
    <w:p>
      <w:pPr>
        <w:spacing w:line="300" w:lineRule="exact"/>
        <w:ind w:firstLine="420"/>
        <w:rPr>
          <w:rFonts w:hint="eastAsia" w:ascii="微软雅黑" w:hAnsi="微软雅黑" w:eastAsia="微软雅黑"/>
          <w:sz w:val="21"/>
          <w:szCs w:val="21"/>
        </w:rPr>
      </w:pPr>
      <w:r>
        <w:rPr>
          <w:rFonts w:hint="eastAsia" w:ascii="微软雅黑" w:hAnsi="微软雅黑" w:eastAsia="微软雅黑"/>
          <w:sz w:val="21"/>
          <w:szCs w:val="21"/>
        </w:rPr>
        <w:t>1.1.4高效性原则。平台建议采用分布式架构，支持负载均衡，能够支撑当地网创培训工作的日常应用。软件设计科学化、专业化与简易化并重，保证用户操作的流畅快捷。</w:t>
      </w:r>
    </w:p>
    <w:p>
      <w:pPr>
        <w:spacing w:line="300" w:lineRule="exact"/>
        <w:ind w:firstLine="420"/>
        <w:rPr>
          <w:rFonts w:hint="eastAsia" w:ascii="微软雅黑" w:hAnsi="微软雅黑" w:eastAsia="微软雅黑"/>
          <w:b/>
          <w:sz w:val="21"/>
          <w:szCs w:val="21"/>
        </w:rPr>
      </w:pPr>
      <w:r>
        <w:rPr>
          <w:rFonts w:hint="eastAsia" w:ascii="微软雅黑" w:hAnsi="微软雅黑" w:eastAsia="微软雅黑"/>
          <w:b/>
          <w:sz w:val="21"/>
          <w:szCs w:val="21"/>
        </w:rPr>
        <w:t>1.2 开发目标</w:t>
      </w:r>
    </w:p>
    <w:p>
      <w:pPr>
        <w:spacing w:line="300" w:lineRule="exact"/>
        <w:ind w:firstLine="420"/>
        <w:rPr>
          <w:rFonts w:hint="eastAsia" w:ascii="微软雅黑" w:hAnsi="微软雅黑" w:eastAsia="微软雅黑"/>
          <w:sz w:val="21"/>
          <w:szCs w:val="21"/>
        </w:rPr>
      </w:pPr>
      <w:r>
        <w:rPr>
          <w:rFonts w:hint="eastAsia" w:ascii="微软雅黑" w:hAnsi="微软雅黑" w:eastAsia="微软雅黑"/>
          <w:sz w:val="21"/>
          <w:szCs w:val="21"/>
        </w:rPr>
        <w:t>由技术支持单位按照网络创业培训课程标准开发一套包括但不限于模拟商城、供销系统、在线学习平台和培训管理系统四个功能模块的教学辅助平台，并向采购方提供平台后续技术支持服务。</w:t>
      </w:r>
    </w:p>
    <w:p>
      <w:pPr>
        <w:spacing w:line="300" w:lineRule="exact"/>
        <w:ind w:firstLine="420"/>
        <w:rPr>
          <w:rFonts w:hint="eastAsia" w:ascii="微软雅黑" w:hAnsi="微软雅黑" w:eastAsia="微软雅黑"/>
          <w:b/>
          <w:sz w:val="21"/>
          <w:szCs w:val="21"/>
        </w:rPr>
      </w:pPr>
      <w:r>
        <w:rPr>
          <w:rFonts w:hint="eastAsia" w:ascii="微软雅黑" w:hAnsi="微软雅黑" w:eastAsia="微软雅黑"/>
          <w:b/>
          <w:sz w:val="21"/>
          <w:szCs w:val="21"/>
        </w:rPr>
        <w:t>1.3开发内容</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模块名称</w:t>
            </w:r>
          </w:p>
        </w:tc>
        <w:tc>
          <w:tcPr>
            <w:tcW w:w="6854" w:type="dxa"/>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建议内容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模拟商城</w:t>
            </w:r>
          </w:p>
        </w:tc>
        <w:tc>
          <w:tcPr>
            <w:tcW w:w="6854" w:type="dxa"/>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模拟商城是为学员营造一个逼真的店铺创办和经营管理的实操环境。学员通过练习，熟悉电商流程，积累实操经验，避免因不熟悉真实电商平台规则而出现的各种处罚等风险。模拟商城建议具备目前主流电商平台的核心功能，包括但不限于店铺注册、商品管理、交易管理、店铺管理、促销管理、客服管理等在线模拟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供销系统</w:t>
            </w:r>
          </w:p>
        </w:tc>
        <w:tc>
          <w:tcPr>
            <w:tcW w:w="6854" w:type="dxa"/>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供销系统是利用Internet技术及信息集成技术，将供应链管理、客户关系管理等功能全面集成优化，实现商品端的产品一键上架、订单抓取、库存同步及发货、退换货等功能，为暂时没有货源渠道的学员第一时间对接货源，解决学员创业初期组织货源困难以及资金风险等问题。供销系统建议实现与淘宝、天猫、苏宁易购、一号店、亚马逊、唯品会等多平台数据互通的功能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在线学习平台</w:t>
            </w:r>
          </w:p>
        </w:tc>
        <w:tc>
          <w:tcPr>
            <w:tcW w:w="6854" w:type="dxa"/>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在线学习平台是满足讲师和学员对于网络创业提升培养的需求，充分整合优势教学资源，以慕课理念制作网创培训系列精品课程，满足翻转课堂的教学需求，帮助学员打破时间和空间的界限，随时随地补给学习资源，全面提升讲师和学员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培训管理系统</w:t>
            </w:r>
          </w:p>
        </w:tc>
        <w:tc>
          <w:tcPr>
            <w:tcW w:w="6854" w:type="dxa"/>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培训管理系统是实现学员班级管理功能，在线完成学员信息录入（或导入）、开班申请、监督评估、在线考试、在线评分、材料报送、信息统计、质量管理、后续跟踪服务等工作，从而确保满足网络创业培训过程和数据维护实现信息化管理的要求，并与部指导中心创业培训工作管理系统实现互联互通、数据共享。</w:t>
            </w:r>
          </w:p>
        </w:tc>
      </w:tr>
    </w:tbl>
    <w:p>
      <w:pPr>
        <w:spacing w:line="300" w:lineRule="exact"/>
        <w:ind w:firstLine="420"/>
        <w:rPr>
          <w:rFonts w:hint="eastAsia" w:ascii="微软雅黑" w:hAnsi="微软雅黑" w:eastAsia="微软雅黑"/>
          <w:b/>
          <w:sz w:val="21"/>
          <w:szCs w:val="21"/>
        </w:rPr>
      </w:pPr>
    </w:p>
    <w:p>
      <w:pPr>
        <w:spacing w:line="300" w:lineRule="exact"/>
        <w:ind w:firstLine="420"/>
        <w:rPr>
          <w:rFonts w:hint="eastAsia" w:ascii="微软雅黑" w:hAnsi="微软雅黑" w:eastAsia="微软雅黑"/>
          <w:b/>
          <w:sz w:val="21"/>
          <w:szCs w:val="21"/>
        </w:rPr>
      </w:pPr>
      <w:r>
        <w:rPr>
          <w:rFonts w:hint="eastAsia" w:ascii="微软雅黑" w:hAnsi="微软雅黑" w:eastAsia="微软雅黑"/>
          <w:b/>
          <w:sz w:val="21"/>
          <w:szCs w:val="21"/>
        </w:rPr>
        <w:t>二、功能建议</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19"/>
        <w:gridCol w:w="210"/>
        <w:gridCol w:w="630"/>
        <w:gridCol w:w="61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模块名称</w:t>
            </w:r>
          </w:p>
        </w:tc>
        <w:tc>
          <w:tcPr>
            <w:tcW w:w="7705" w:type="dxa"/>
            <w:gridSpan w:val="4"/>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建议功能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trPr>
        <w:tc>
          <w:tcPr>
            <w:tcW w:w="817" w:type="dxa"/>
            <w:vMerge w:val="restart"/>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模拟</w:t>
            </w:r>
          </w:p>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商城</w:t>
            </w:r>
          </w:p>
        </w:tc>
        <w:tc>
          <w:tcPr>
            <w:tcW w:w="7705" w:type="dxa"/>
            <w:gridSpan w:val="4"/>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前端：卖家中心、买家中心、购物车、商品店铺搜索、交易、购物车。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1559" w:type="dxa"/>
            <w:gridSpan w:val="3"/>
            <w:vMerge w:val="restart"/>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 xml:space="preserve">卖家中心（后端）：页面显示卖家店铺的基本情况，卖家可对个人店铺进行管理。 </w:t>
            </w:r>
          </w:p>
        </w:tc>
        <w:tc>
          <w:tcPr>
            <w:tcW w:w="6146" w:type="dxa"/>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商品管理：实现商品下架、删除、查看等功能。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1559" w:type="dxa"/>
            <w:gridSpan w:val="3"/>
            <w:vMerge w:val="continue"/>
            <w:vAlign w:val="center"/>
          </w:tcPr>
          <w:p>
            <w:pPr>
              <w:spacing w:line="300" w:lineRule="exact"/>
              <w:ind w:firstLine="0" w:firstLineChars="0"/>
              <w:rPr>
                <w:rFonts w:hint="eastAsia" w:ascii="微软雅黑" w:hAnsi="微软雅黑" w:eastAsia="微软雅黑"/>
                <w:sz w:val="21"/>
                <w:szCs w:val="21"/>
              </w:rPr>
            </w:pPr>
          </w:p>
        </w:tc>
        <w:tc>
          <w:tcPr>
            <w:tcW w:w="6146" w:type="dxa"/>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交易管理：实现订单交易、订单状态查询、支付方式和评价信息的管理功能。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1559" w:type="dxa"/>
            <w:gridSpan w:val="3"/>
            <w:vMerge w:val="continue"/>
            <w:vAlign w:val="center"/>
          </w:tcPr>
          <w:p>
            <w:pPr>
              <w:spacing w:line="300" w:lineRule="exact"/>
              <w:ind w:firstLine="0" w:firstLineChars="0"/>
              <w:rPr>
                <w:rFonts w:hint="eastAsia" w:ascii="微软雅黑" w:hAnsi="微软雅黑" w:eastAsia="微软雅黑"/>
                <w:sz w:val="21"/>
                <w:szCs w:val="21"/>
              </w:rPr>
            </w:pPr>
          </w:p>
        </w:tc>
        <w:tc>
          <w:tcPr>
            <w:tcW w:w="6146" w:type="dxa"/>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店铺管理：实现卖家个人的店铺查看、店铺装修（店招、店标、店名、轮播等）、图片管理、导航管理等功能。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1559" w:type="dxa"/>
            <w:gridSpan w:val="3"/>
            <w:vMerge w:val="continue"/>
            <w:vAlign w:val="center"/>
          </w:tcPr>
          <w:p>
            <w:pPr>
              <w:spacing w:line="300" w:lineRule="exact"/>
              <w:ind w:firstLine="0" w:firstLineChars="0"/>
              <w:rPr>
                <w:rFonts w:hint="eastAsia" w:ascii="微软雅黑" w:hAnsi="微软雅黑" w:eastAsia="微软雅黑"/>
                <w:sz w:val="21"/>
                <w:szCs w:val="21"/>
              </w:rPr>
            </w:pPr>
          </w:p>
        </w:tc>
        <w:tc>
          <w:tcPr>
            <w:tcW w:w="6146" w:type="dxa"/>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客服管理：实现咨询管理、退款记录、退货记录、投诉管理及被举报禁售等功能。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1559" w:type="dxa"/>
            <w:gridSpan w:val="3"/>
            <w:vMerge w:val="continue"/>
            <w:vAlign w:val="center"/>
          </w:tcPr>
          <w:p>
            <w:pPr>
              <w:spacing w:line="300" w:lineRule="exact"/>
              <w:ind w:firstLine="0" w:firstLineChars="0"/>
              <w:rPr>
                <w:rFonts w:hint="eastAsia" w:ascii="微软雅黑" w:hAnsi="微软雅黑" w:eastAsia="微软雅黑"/>
                <w:sz w:val="21"/>
                <w:szCs w:val="21"/>
              </w:rPr>
            </w:pPr>
          </w:p>
        </w:tc>
        <w:tc>
          <w:tcPr>
            <w:tcW w:w="6146" w:type="dxa"/>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优化推广：实现店铺模板、商品推广等个性化设计功能。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9"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1559" w:type="dxa"/>
            <w:gridSpan w:val="3"/>
            <w:vMerge w:val="restart"/>
            <w:vAlign w:val="center"/>
          </w:tcPr>
          <w:p>
            <w:pPr>
              <w:spacing w:line="24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买家中心（后端）：页面显示买家基本情况，对个人信息进行管理</w:t>
            </w:r>
          </w:p>
        </w:tc>
        <w:tc>
          <w:tcPr>
            <w:tcW w:w="6146" w:type="dxa"/>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交易信息：实现待付款订单、待确认收货、待评价交易等交易流程进行管理设置。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1559" w:type="dxa"/>
            <w:gridSpan w:val="3"/>
            <w:vMerge w:val="continue"/>
            <w:vAlign w:val="center"/>
          </w:tcPr>
          <w:p>
            <w:pPr>
              <w:spacing w:line="300" w:lineRule="exact"/>
              <w:ind w:firstLine="420"/>
              <w:rPr>
                <w:rFonts w:hint="eastAsia" w:ascii="微软雅黑" w:hAnsi="微软雅黑" w:eastAsia="微软雅黑"/>
                <w:sz w:val="21"/>
                <w:szCs w:val="21"/>
              </w:rPr>
            </w:pPr>
          </w:p>
        </w:tc>
        <w:tc>
          <w:tcPr>
            <w:tcW w:w="6146" w:type="dxa"/>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交易操作：实现对已买到的商品、我的收藏、账户设置、评价管理、咨询与维权等环节的相应管理功能。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7705" w:type="dxa"/>
            <w:gridSpan w:val="4"/>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购物车：显示买家模拟购买的所有商品信息。信息内容包括：商品名称、商品信息、单价、数量、总价和操作等属性。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7705" w:type="dxa"/>
            <w:gridSpan w:val="4"/>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搜索：实现对模拟商城内所有商品、店铺进行搜索。搜索结果显示商品、店铺主图和链接，可直接点击进入相应商品、店铺页面。搜索内容可根据客户需求按照综合、人气、销量、信用等参数进行智能排序。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7705" w:type="dxa"/>
            <w:gridSpan w:val="4"/>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交易：实现分配给每个用户一定数量的虚拟货币，用户可利用此货币在模拟训练平台完成模拟交易。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817" w:type="dxa"/>
            <w:vMerge w:val="restart"/>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供销系统</w:t>
            </w:r>
          </w:p>
        </w:tc>
        <w:tc>
          <w:tcPr>
            <w:tcW w:w="719" w:type="dxa"/>
            <w:vMerge w:val="restart"/>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信息</w:t>
            </w:r>
          </w:p>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管理</w:t>
            </w:r>
          </w:p>
        </w:tc>
        <w:tc>
          <w:tcPr>
            <w:tcW w:w="6986" w:type="dxa"/>
            <w:gridSpan w:val="3"/>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商品管理：实现供销系统内所有信息的管理功能，包括但不限于商品信息、商品库存、商品设置等。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719"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6986" w:type="dxa"/>
            <w:gridSpan w:val="3"/>
            <w:vAlign w:val="center"/>
          </w:tcPr>
          <w:p>
            <w:pPr>
              <w:spacing w:line="300" w:lineRule="exact"/>
              <w:ind w:firstLine="0" w:firstLineChars="0"/>
              <w:rPr>
                <w:rFonts w:ascii="微软雅黑" w:hAnsi="微软雅黑" w:eastAsia="微软雅黑"/>
                <w:sz w:val="21"/>
                <w:szCs w:val="21"/>
              </w:rPr>
            </w:pPr>
            <w:r>
              <w:rPr>
                <w:rFonts w:hint="eastAsia" w:ascii="微软雅黑" w:hAnsi="微软雅黑" w:eastAsia="微软雅黑"/>
                <w:sz w:val="21"/>
                <w:szCs w:val="21"/>
              </w:rPr>
              <w:t>商品信息：实现销售商品查询、下架商品查询和店铺商品上传等功能，卖家可通过此功能查看所有可供销售商品的名称、图片、进货价、建议零售价和库存，并实现商品端产品一键多平台上架。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719"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6986" w:type="dxa"/>
            <w:gridSpan w:val="3"/>
            <w:vAlign w:val="center"/>
          </w:tcPr>
          <w:p>
            <w:pPr>
              <w:spacing w:line="300" w:lineRule="exact"/>
              <w:ind w:firstLine="0" w:firstLineChars="0"/>
              <w:rPr>
                <w:rFonts w:ascii="微软雅黑" w:hAnsi="微软雅黑" w:eastAsia="微软雅黑"/>
                <w:sz w:val="21"/>
                <w:szCs w:val="21"/>
              </w:rPr>
            </w:pPr>
            <w:r>
              <w:rPr>
                <w:rFonts w:hint="eastAsia" w:ascii="微软雅黑" w:hAnsi="微软雅黑" w:eastAsia="微软雅黑"/>
                <w:sz w:val="21"/>
                <w:szCs w:val="21"/>
              </w:rPr>
              <w:t>商品库存：实现店铺商品库存更新、库存分配和自动更新设置等功能，从而了解商品库存情况，及时调整店铺库存数量。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719"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6986" w:type="dxa"/>
            <w:gridSpan w:val="3"/>
            <w:vAlign w:val="center"/>
          </w:tcPr>
          <w:p>
            <w:pPr>
              <w:spacing w:line="300" w:lineRule="exact"/>
              <w:ind w:firstLine="0" w:firstLineChars="0"/>
              <w:rPr>
                <w:rFonts w:ascii="微软雅黑" w:hAnsi="微软雅黑" w:eastAsia="微软雅黑"/>
                <w:sz w:val="21"/>
                <w:szCs w:val="21"/>
              </w:rPr>
            </w:pPr>
            <w:r>
              <w:rPr>
                <w:rFonts w:hint="eastAsia" w:ascii="微软雅黑" w:hAnsi="微软雅黑" w:eastAsia="微软雅黑"/>
                <w:sz w:val="21"/>
                <w:szCs w:val="21"/>
              </w:rPr>
              <w:t>商品设置：实现商品发布情况设置，将系统内商品选择批量发布或单件发布对接到店铺。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719" w:type="dxa"/>
            <w:vMerge w:val="restart"/>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订单</w:t>
            </w:r>
          </w:p>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管理</w:t>
            </w:r>
          </w:p>
        </w:tc>
        <w:tc>
          <w:tcPr>
            <w:tcW w:w="6986" w:type="dxa"/>
            <w:gridSpan w:val="3"/>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订单查询：实现店铺所有订单状态的查询。包括但不限于订单号、店铺订单、订单状态等。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719" w:type="dxa"/>
            <w:vMerge w:val="continue"/>
            <w:vAlign w:val="center"/>
          </w:tcPr>
          <w:p>
            <w:pPr>
              <w:spacing w:line="300" w:lineRule="exact"/>
              <w:ind w:firstLine="420"/>
              <w:jc w:val="center"/>
              <w:rPr>
                <w:rFonts w:hint="eastAsia" w:ascii="微软雅黑" w:hAnsi="微软雅黑" w:eastAsia="微软雅黑"/>
                <w:sz w:val="21"/>
                <w:szCs w:val="21"/>
              </w:rPr>
            </w:pPr>
          </w:p>
        </w:tc>
        <w:tc>
          <w:tcPr>
            <w:tcW w:w="6986" w:type="dxa"/>
            <w:gridSpan w:val="3"/>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订单生成：实现手动生成订单、自动生成订单和订单导入等。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719" w:type="dxa"/>
            <w:vMerge w:val="continue"/>
            <w:vAlign w:val="center"/>
          </w:tcPr>
          <w:p>
            <w:pPr>
              <w:spacing w:line="300" w:lineRule="exact"/>
              <w:ind w:firstLine="420"/>
              <w:jc w:val="center"/>
              <w:rPr>
                <w:rFonts w:hint="eastAsia" w:ascii="微软雅黑" w:hAnsi="微软雅黑" w:eastAsia="微软雅黑"/>
                <w:sz w:val="21"/>
                <w:szCs w:val="21"/>
              </w:rPr>
            </w:pPr>
          </w:p>
        </w:tc>
        <w:tc>
          <w:tcPr>
            <w:tcW w:w="6986" w:type="dxa"/>
            <w:gridSpan w:val="3"/>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订单统计：实现订单统计，了解店铺业绩。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719" w:type="dxa"/>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顾客</w:t>
            </w:r>
          </w:p>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管理</w:t>
            </w:r>
          </w:p>
        </w:tc>
        <w:tc>
          <w:tcPr>
            <w:tcW w:w="6986" w:type="dxa"/>
            <w:gridSpan w:val="3"/>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了解顾客在本店消费信息，包括但不限于姓名、联系方式、购买时间、购买次数。卖家可根据顾客信息分析其购买习惯，适时发送推广信息。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719" w:type="dxa"/>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店铺</w:t>
            </w:r>
          </w:p>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管理</w:t>
            </w:r>
          </w:p>
        </w:tc>
        <w:tc>
          <w:tcPr>
            <w:tcW w:w="6986" w:type="dxa"/>
            <w:gridSpan w:val="3"/>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实现卖家对店铺销售业绩、服务记录的管理统计功能。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719" w:type="dxa"/>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财务</w:t>
            </w:r>
          </w:p>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管理</w:t>
            </w:r>
          </w:p>
        </w:tc>
        <w:tc>
          <w:tcPr>
            <w:tcW w:w="6986" w:type="dxa"/>
            <w:gridSpan w:val="3"/>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实现销售款项统计、预付款管理和供应商款项管理等功能，卖家可通过此模块对供应商的应付款项、应退款项、异常款项和保证金进行管理。方便卖家统计月销售额。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719" w:type="dxa"/>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渠道</w:t>
            </w:r>
          </w:p>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管理</w:t>
            </w:r>
          </w:p>
        </w:tc>
        <w:tc>
          <w:tcPr>
            <w:tcW w:w="6986" w:type="dxa"/>
            <w:gridSpan w:val="3"/>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实现多次添加对接店铺帐号信息功能。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719" w:type="dxa"/>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系统</w:t>
            </w:r>
          </w:p>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设置</w:t>
            </w:r>
          </w:p>
        </w:tc>
        <w:tc>
          <w:tcPr>
            <w:tcW w:w="6986" w:type="dxa"/>
            <w:gridSpan w:val="3"/>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实现修改信息、我的排班、短信设置、寄件方资料、角色与权限、客服考核设置及收付款账号设置等功能。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9" w:hRule="atLeast"/>
        </w:trPr>
        <w:tc>
          <w:tcPr>
            <w:tcW w:w="817" w:type="dxa"/>
            <w:vMerge w:val="restart"/>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在线学习平台</w:t>
            </w:r>
          </w:p>
        </w:tc>
        <w:tc>
          <w:tcPr>
            <w:tcW w:w="7705" w:type="dxa"/>
            <w:gridSpan w:val="4"/>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课程学习：实现用户在线视频观看、分享、做笔记等功能。视频内容以学员需求为导向，作为基础课程的延伸和必要补充。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 w:hRule="atLeast"/>
        </w:trPr>
        <w:tc>
          <w:tcPr>
            <w:tcW w:w="817" w:type="dxa"/>
            <w:vMerge w:val="continue"/>
            <w:tcBorders>
              <w:bottom w:val="single" w:color="auto" w:sz="4" w:space="0"/>
            </w:tcBorders>
            <w:vAlign w:val="center"/>
          </w:tcPr>
          <w:p>
            <w:pPr>
              <w:spacing w:line="300" w:lineRule="exact"/>
              <w:ind w:firstLine="420"/>
              <w:jc w:val="center"/>
              <w:rPr>
                <w:rFonts w:hint="eastAsia" w:ascii="微软雅黑" w:hAnsi="微软雅黑" w:eastAsia="微软雅黑"/>
                <w:sz w:val="21"/>
                <w:szCs w:val="21"/>
              </w:rPr>
            </w:pPr>
          </w:p>
        </w:tc>
        <w:tc>
          <w:tcPr>
            <w:tcW w:w="7705" w:type="dxa"/>
            <w:gridSpan w:val="4"/>
            <w:tcBorders>
              <w:bottom w:val="single" w:color="auto" w:sz="4" w:space="0"/>
            </w:tcBorders>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视频管理：实现管理员对学习平台上视频和评论的添加、删除、查看、分类功能。为满足教学需求，可支持5000人同时在线观看。视频数量不少于500个，并保持持续更新。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817" w:type="dxa"/>
            <w:vMerge w:val="restart"/>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培训管理系统</w:t>
            </w:r>
          </w:p>
        </w:tc>
        <w:tc>
          <w:tcPr>
            <w:tcW w:w="929" w:type="dxa"/>
            <w:gridSpan w:val="2"/>
            <w:vMerge w:val="restart"/>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基础</w:t>
            </w:r>
          </w:p>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管理</w:t>
            </w:r>
          </w:p>
        </w:tc>
        <w:tc>
          <w:tcPr>
            <w:tcW w:w="6776" w:type="dxa"/>
            <w:gridSpan w:val="2"/>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通知公告：实现公告信息的查看、添加、修改、查询和发布的功能。公告信息可进行分类，重要信息可进行置顶设置。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929" w:type="dxa"/>
            <w:gridSpan w:val="2"/>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6776" w:type="dxa"/>
            <w:gridSpan w:val="2"/>
            <w:vAlign w:val="center"/>
          </w:tcPr>
          <w:p>
            <w:pPr>
              <w:spacing w:line="300" w:lineRule="exact"/>
              <w:ind w:firstLine="0" w:firstLineChars="0"/>
              <w:rPr>
                <w:rFonts w:ascii="微软雅黑" w:hAnsi="微软雅黑" w:eastAsia="微软雅黑"/>
                <w:sz w:val="21"/>
                <w:szCs w:val="21"/>
              </w:rPr>
            </w:pPr>
            <w:r>
              <w:rPr>
                <w:rFonts w:hint="eastAsia" w:ascii="微软雅黑" w:hAnsi="微软雅黑" w:eastAsia="微软雅黑"/>
                <w:sz w:val="21"/>
                <w:szCs w:val="21"/>
              </w:rPr>
              <w:t>申请审批：实现申请的添加、提交、修改、申请审核（包括但不限于开班申请、考试申请、结班申请），及未通过的查看等功能。用户可根据实际需求个性化设置各类流程。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929" w:type="dxa"/>
            <w:gridSpan w:val="2"/>
            <w:vMerge w:val="restart"/>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系统</w:t>
            </w:r>
          </w:p>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管理</w:t>
            </w:r>
          </w:p>
        </w:tc>
        <w:tc>
          <w:tcPr>
            <w:tcW w:w="6776" w:type="dxa"/>
            <w:gridSpan w:val="2"/>
            <w:vAlign w:val="center"/>
          </w:tcPr>
          <w:p>
            <w:pPr>
              <w:spacing w:line="300" w:lineRule="exact"/>
              <w:ind w:firstLine="0" w:firstLineChars="0"/>
              <w:rPr>
                <w:rFonts w:ascii="微软雅黑" w:hAnsi="微软雅黑" w:eastAsia="微软雅黑"/>
                <w:sz w:val="21"/>
                <w:szCs w:val="21"/>
              </w:rPr>
            </w:pPr>
            <w:r>
              <w:rPr>
                <w:rFonts w:hint="eastAsia" w:ascii="微软雅黑" w:hAnsi="微软雅黑" w:eastAsia="微软雅黑"/>
                <w:sz w:val="21"/>
                <w:szCs w:val="21"/>
              </w:rPr>
              <w:t>角色设置：具有不同操作权限人员的身份选择功能设置，有添加、修改、删除功能。建议角色包括主管部门（省级-市级-区县级）、培训机构、讲师、考评专家、学员5类。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929" w:type="dxa"/>
            <w:gridSpan w:val="2"/>
            <w:vMerge w:val="continue"/>
            <w:vAlign w:val="center"/>
          </w:tcPr>
          <w:p>
            <w:pPr>
              <w:spacing w:line="300" w:lineRule="exact"/>
              <w:ind w:firstLine="420"/>
              <w:jc w:val="center"/>
              <w:rPr>
                <w:rFonts w:hint="eastAsia" w:ascii="微软雅黑" w:hAnsi="微软雅黑" w:eastAsia="微软雅黑"/>
                <w:sz w:val="21"/>
                <w:szCs w:val="21"/>
              </w:rPr>
            </w:pPr>
          </w:p>
        </w:tc>
        <w:tc>
          <w:tcPr>
            <w:tcW w:w="6776" w:type="dxa"/>
            <w:gridSpan w:val="2"/>
            <w:vAlign w:val="center"/>
          </w:tcPr>
          <w:p>
            <w:pPr>
              <w:spacing w:line="300" w:lineRule="exact"/>
              <w:ind w:firstLine="0" w:firstLineChars="0"/>
              <w:rPr>
                <w:rFonts w:ascii="微软雅黑" w:hAnsi="微软雅黑" w:eastAsia="微软雅黑"/>
                <w:sz w:val="21"/>
                <w:szCs w:val="21"/>
              </w:rPr>
            </w:pPr>
            <w:r>
              <w:rPr>
                <w:rFonts w:hint="eastAsia" w:ascii="微软雅黑" w:hAnsi="微软雅黑" w:eastAsia="微软雅黑"/>
                <w:sz w:val="21"/>
                <w:szCs w:val="21"/>
              </w:rPr>
              <w:t>机构设置：上级主管部门对下级主管部门的管理功能权限，如省级主管部门可开设市级主管部门及培训机构账号，并设置权限。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929" w:type="dxa"/>
            <w:gridSpan w:val="2"/>
            <w:vMerge w:val="continue"/>
            <w:vAlign w:val="center"/>
          </w:tcPr>
          <w:p>
            <w:pPr>
              <w:spacing w:line="300" w:lineRule="exact"/>
              <w:ind w:firstLine="420"/>
              <w:jc w:val="center"/>
              <w:rPr>
                <w:rFonts w:hint="eastAsia" w:ascii="微软雅黑" w:hAnsi="微软雅黑" w:eastAsia="微软雅黑"/>
                <w:sz w:val="21"/>
                <w:szCs w:val="21"/>
              </w:rPr>
            </w:pPr>
          </w:p>
        </w:tc>
        <w:tc>
          <w:tcPr>
            <w:tcW w:w="6776" w:type="dxa"/>
            <w:gridSpan w:val="2"/>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有添加、修改、删除功能。也可根据本地实际情况实现层级间从属关系调整。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929" w:type="dxa"/>
            <w:gridSpan w:val="2"/>
            <w:vMerge w:val="continue"/>
            <w:vAlign w:val="center"/>
          </w:tcPr>
          <w:p>
            <w:pPr>
              <w:spacing w:line="300" w:lineRule="exact"/>
              <w:ind w:firstLine="420"/>
              <w:jc w:val="center"/>
              <w:rPr>
                <w:rFonts w:hint="eastAsia" w:ascii="微软雅黑" w:hAnsi="微软雅黑" w:eastAsia="微软雅黑"/>
                <w:sz w:val="21"/>
                <w:szCs w:val="21"/>
              </w:rPr>
            </w:pPr>
          </w:p>
        </w:tc>
        <w:tc>
          <w:tcPr>
            <w:tcW w:w="6776" w:type="dxa"/>
            <w:gridSpan w:val="2"/>
            <w:vAlign w:val="center"/>
          </w:tcPr>
          <w:p>
            <w:pPr>
              <w:spacing w:line="300" w:lineRule="exact"/>
              <w:ind w:firstLine="0" w:firstLineChars="0"/>
              <w:rPr>
                <w:rFonts w:ascii="微软雅黑" w:hAnsi="微软雅黑" w:eastAsia="微软雅黑"/>
                <w:sz w:val="21"/>
                <w:szCs w:val="21"/>
              </w:rPr>
            </w:pPr>
            <w:r>
              <w:rPr>
                <w:rFonts w:hint="eastAsia" w:ascii="微软雅黑" w:hAnsi="微软雅黑" w:eastAsia="微软雅黑"/>
                <w:sz w:val="21"/>
                <w:szCs w:val="21"/>
              </w:rPr>
              <w:t>地区设置：主管部门对学员所在区域进行划分的管理设置，有添加、修改、删除功能。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929" w:type="dxa"/>
            <w:gridSpan w:val="2"/>
            <w:vMerge w:val="continue"/>
            <w:vAlign w:val="center"/>
          </w:tcPr>
          <w:p>
            <w:pPr>
              <w:spacing w:line="300" w:lineRule="exact"/>
              <w:ind w:firstLine="420"/>
              <w:jc w:val="center"/>
              <w:rPr>
                <w:rFonts w:hint="eastAsia" w:ascii="微软雅黑" w:hAnsi="微软雅黑" w:eastAsia="微软雅黑"/>
                <w:sz w:val="21"/>
                <w:szCs w:val="21"/>
              </w:rPr>
            </w:pPr>
          </w:p>
        </w:tc>
        <w:tc>
          <w:tcPr>
            <w:tcW w:w="6776" w:type="dxa"/>
            <w:gridSpan w:val="2"/>
            <w:vAlign w:val="center"/>
          </w:tcPr>
          <w:p>
            <w:pPr>
              <w:spacing w:line="300" w:lineRule="exact"/>
              <w:ind w:firstLine="0" w:firstLineChars="0"/>
              <w:rPr>
                <w:rFonts w:ascii="微软雅黑" w:hAnsi="微软雅黑" w:eastAsia="微软雅黑"/>
                <w:sz w:val="21"/>
                <w:szCs w:val="21"/>
              </w:rPr>
            </w:pPr>
            <w:r>
              <w:rPr>
                <w:rFonts w:hint="eastAsia" w:ascii="微软雅黑" w:hAnsi="微软雅黑" w:eastAsia="微软雅黑"/>
                <w:sz w:val="21"/>
                <w:szCs w:val="21"/>
              </w:rPr>
              <w:t>证件类型设置：主管部门对学员所持证件进行分类的管理设置（如学生证、失业人员登记证、残疾证等），有添加、修改、删除功能。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929" w:type="dxa"/>
            <w:gridSpan w:val="2"/>
            <w:vMerge w:val="continue"/>
            <w:vAlign w:val="center"/>
          </w:tcPr>
          <w:p>
            <w:pPr>
              <w:spacing w:line="300" w:lineRule="exact"/>
              <w:ind w:firstLine="420"/>
              <w:jc w:val="center"/>
              <w:rPr>
                <w:rFonts w:hint="eastAsia" w:ascii="微软雅黑" w:hAnsi="微软雅黑" w:eastAsia="微软雅黑"/>
                <w:sz w:val="21"/>
                <w:szCs w:val="21"/>
              </w:rPr>
            </w:pPr>
          </w:p>
        </w:tc>
        <w:tc>
          <w:tcPr>
            <w:tcW w:w="6776" w:type="dxa"/>
            <w:gridSpan w:val="2"/>
            <w:vAlign w:val="center"/>
          </w:tcPr>
          <w:p>
            <w:pPr>
              <w:spacing w:line="300" w:lineRule="exact"/>
              <w:ind w:firstLine="0" w:firstLineChars="0"/>
              <w:rPr>
                <w:rFonts w:ascii="微软雅黑" w:hAnsi="微软雅黑" w:eastAsia="微软雅黑"/>
                <w:sz w:val="21"/>
                <w:szCs w:val="21"/>
              </w:rPr>
            </w:pPr>
            <w:r>
              <w:rPr>
                <w:rFonts w:hint="eastAsia" w:ascii="微软雅黑" w:hAnsi="微软雅黑" w:eastAsia="微软雅黑"/>
                <w:sz w:val="21"/>
                <w:szCs w:val="21"/>
              </w:rPr>
              <w:t>文化程度设置：主管部门对学员文化程度进行分类的管理设置，有分类添加、修改、删除功能。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929" w:type="dxa"/>
            <w:gridSpan w:val="2"/>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课程</w:t>
            </w:r>
          </w:p>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管理</w:t>
            </w:r>
          </w:p>
        </w:tc>
        <w:tc>
          <w:tcPr>
            <w:tcW w:w="6776" w:type="dxa"/>
            <w:gridSpan w:val="2"/>
            <w:vAlign w:val="center"/>
          </w:tcPr>
          <w:p>
            <w:pPr>
              <w:spacing w:line="300" w:lineRule="exact"/>
              <w:ind w:firstLine="0" w:firstLineChars="0"/>
              <w:rPr>
                <w:rFonts w:ascii="微软雅黑" w:hAnsi="微软雅黑" w:eastAsia="微软雅黑"/>
                <w:sz w:val="21"/>
                <w:szCs w:val="21"/>
              </w:rPr>
            </w:pPr>
            <w:r>
              <w:rPr>
                <w:rFonts w:hint="eastAsia" w:ascii="微软雅黑" w:hAnsi="微软雅黑" w:eastAsia="微软雅黑"/>
                <w:sz w:val="21"/>
                <w:szCs w:val="21"/>
              </w:rPr>
              <w:t>实现网络创业培训课程模块的添加、修改、删除和查询的功能。并同步与课程匹配的题库、证书模块设置。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929" w:type="dxa"/>
            <w:gridSpan w:val="2"/>
            <w:vMerge w:val="restart"/>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培训班</w:t>
            </w:r>
          </w:p>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管理</w:t>
            </w:r>
          </w:p>
        </w:tc>
        <w:tc>
          <w:tcPr>
            <w:tcW w:w="6776" w:type="dxa"/>
            <w:gridSpan w:val="2"/>
            <w:vAlign w:val="center"/>
          </w:tcPr>
          <w:p>
            <w:pPr>
              <w:spacing w:line="300" w:lineRule="exact"/>
              <w:ind w:firstLine="0" w:firstLineChars="0"/>
              <w:rPr>
                <w:rFonts w:ascii="微软雅黑" w:hAnsi="微软雅黑" w:eastAsia="微软雅黑"/>
                <w:sz w:val="21"/>
                <w:szCs w:val="21"/>
              </w:rPr>
            </w:pPr>
            <w:r>
              <w:rPr>
                <w:rFonts w:hint="eastAsia" w:ascii="微软雅黑" w:hAnsi="微软雅黑" w:eastAsia="微软雅黑"/>
                <w:sz w:val="21"/>
                <w:szCs w:val="21"/>
              </w:rPr>
              <w:t>班级管理：培训机构有新建、修改、删除学员班功能，并自动生成学员账号；主管部门审批后实现培训讲师派遣功能。主管部门有查看所有学员班情况（包括但不限于学员班信息、授课讲师信息、课程信息、证书、照片、报表及数据统计等）功能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929" w:type="dxa"/>
            <w:gridSpan w:val="2"/>
            <w:vMerge w:val="continue"/>
            <w:vAlign w:val="center"/>
          </w:tcPr>
          <w:p>
            <w:pPr>
              <w:spacing w:line="300" w:lineRule="exact"/>
              <w:ind w:firstLine="0" w:firstLineChars="0"/>
              <w:rPr>
                <w:rFonts w:hint="eastAsia" w:ascii="微软雅黑" w:hAnsi="微软雅黑" w:eastAsia="微软雅黑"/>
                <w:sz w:val="21"/>
                <w:szCs w:val="21"/>
              </w:rPr>
            </w:pPr>
          </w:p>
        </w:tc>
        <w:tc>
          <w:tcPr>
            <w:tcW w:w="6776" w:type="dxa"/>
            <w:gridSpan w:val="2"/>
            <w:vAlign w:val="center"/>
          </w:tcPr>
          <w:p>
            <w:pPr>
              <w:spacing w:line="300" w:lineRule="exact"/>
              <w:ind w:firstLine="0" w:firstLineChars="0"/>
              <w:rPr>
                <w:rFonts w:ascii="微软雅黑" w:hAnsi="微软雅黑" w:eastAsia="微软雅黑"/>
                <w:sz w:val="21"/>
                <w:szCs w:val="21"/>
              </w:rPr>
            </w:pPr>
            <w:r>
              <w:rPr>
                <w:rFonts w:hint="eastAsia" w:ascii="微软雅黑" w:hAnsi="微软雅黑" w:eastAsia="微软雅黑"/>
                <w:sz w:val="21"/>
                <w:szCs w:val="21"/>
              </w:rPr>
              <w:t>培训考核：实现学员在线考试的功能，包括但不限于在线理论考试、在线提交实践成果及网店规划书。理论考试可自动评分，学员点击交卷后直接显示该部分考试得分。主管部门根据实际需要添加、修改、删除题库和试题，并指定给本地区学员使用。此外，对学员考勤有评分、修改、查看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929" w:type="dxa"/>
            <w:gridSpan w:val="2"/>
            <w:vMerge w:val="continue"/>
            <w:vAlign w:val="center"/>
          </w:tcPr>
          <w:p>
            <w:pPr>
              <w:spacing w:line="300" w:lineRule="exact"/>
              <w:ind w:firstLine="0" w:firstLineChars="0"/>
              <w:rPr>
                <w:rFonts w:hint="eastAsia" w:ascii="微软雅黑" w:hAnsi="微软雅黑" w:eastAsia="微软雅黑"/>
                <w:sz w:val="21"/>
                <w:szCs w:val="21"/>
              </w:rPr>
            </w:pPr>
          </w:p>
        </w:tc>
        <w:tc>
          <w:tcPr>
            <w:tcW w:w="6776" w:type="dxa"/>
            <w:gridSpan w:val="2"/>
            <w:vAlign w:val="center"/>
          </w:tcPr>
          <w:p>
            <w:pPr>
              <w:spacing w:line="300" w:lineRule="exact"/>
              <w:ind w:firstLine="0" w:firstLineChars="0"/>
              <w:rPr>
                <w:rFonts w:ascii="微软雅黑" w:hAnsi="微软雅黑" w:eastAsia="微软雅黑"/>
                <w:sz w:val="21"/>
                <w:szCs w:val="21"/>
              </w:rPr>
            </w:pPr>
            <w:r>
              <w:rPr>
                <w:rFonts w:hint="eastAsia" w:ascii="微软雅黑" w:hAnsi="微软雅黑" w:eastAsia="微软雅黑"/>
                <w:sz w:val="21"/>
                <w:szCs w:val="21"/>
              </w:rPr>
              <w:t>监督评估：实时查看培训中、培训后各类工具表单信息收集统计，包括但不限于学员对讲师及培训机构、讲师对培训机构、培训机构对讲师的评估和意见反馈。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trPr>
        <w:tc>
          <w:tcPr>
            <w:tcW w:w="817" w:type="dxa"/>
            <w:vMerge w:val="restart"/>
            <w:vAlign w:val="center"/>
          </w:tcPr>
          <w:p>
            <w:pPr>
              <w:spacing w:line="300" w:lineRule="exact"/>
              <w:ind w:firstLine="0" w:firstLineChars="0"/>
              <w:jc w:val="center"/>
              <w:rPr>
                <w:rFonts w:hint="eastAsia" w:ascii="微软雅黑" w:hAnsi="微软雅黑" w:eastAsia="微软雅黑"/>
                <w:sz w:val="21"/>
                <w:szCs w:val="21"/>
              </w:rPr>
            </w:pPr>
          </w:p>
        </w:tc>
        <w:tc>
          <w:tcPr>
            <w:tcW w:w="929" w:type="dxa"/>
            <w:gridSpan w:val="2"/>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师资</w:t>
            </w:r>
          </w:p>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管理</w:t>
            </w:r>
          </w:p>
        </w:tc>
        <w:tc>
          <w:tcPr>
            <w:tcW w:w="6776" w:type="dxa"/>
            <w:gridSpan w:val="2"/>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sym w:font="Wingdings" w:char="F06C"/>
            </w:r>
            <w:r>
              <w:rPr>
                <w:rFonts w:hint="eastAsia" w:ascii="微软雅黑" w:hAnsi="微软雅黑" w:eastAsia="微软雅黑"/>
                <w:sz w:val="21"/>
                <w:szCs w:val="21"/>
              </w:rPr>
              <w:t>实现主管部门对本地学员班派遣讲师的审批、派遣、评估等功能。</w:t>
            </w:r>
          </w:p>
          <w:p>
            <w:pPr>
              <w:spacing w:line="300" w:lineRule="exact"/>
              <w:ind w:firstLine="0" w:firstLineChars="0"/>
              <w:rPr>
                <w:rFonts w:ascii="微软雅黑" w:hAnsi="微软雅黑" w:eastAsia="微软雅黑"/>
                <w:sz w:val="21"/>
                <w:szCs w:val="21"/>
              </w:rPr>
            </w:pPr>
            <w:r>
              <w:rPr>
                <w:rFonts w:hint="eastAsia" w:ascii="微软雅黑" w:hAnsi="微软雅黑" w:eastAsia="微软雅黑"/>
                <w:sz w:val="21"/>
                <w:szCs w:val="21"/>
              </w:rPr>
              <w:sym w:font="Wingdings" w:char="F06C"/>
            </w:r>
            <w:r>
              <w:rPr>
                <w:rFonts w:hint="eastAsia" w:ascii="微软雅黑" w:hAnsi="微软雅黑" w:eastAsia="微软雅黑"/>
                <w:sz w:val="21"/>
                <w:szCs w:val="21"/>
              </w:rPr>
              <w:t>与部中心创业培训管理系统对接，实现本地师资库管理功能。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atLeast"/>
        </w:trPr>
        <w:tc>
          <w:tcPr>
            <w:tcW w:w="817" w:type="dxa"/>
            <w:vMerge w:val="continue"/>
            <w:vAlign w:val="center"/>
          </w:tcPr>
          <w:p>
            <w:pPr>
              <w:spacing w:line="300" w:lineRule="exact"/>
              <w:ind w:firstLine="0" w:firstLineChars="0"/>
              <w:jc w:val="center"/>
              <w:rPr>
                <w:rFonts w:hint="eastAsia" w:ascii="微软雅黑" w:hAnsi="微软雅黑" w:eastAsia="微软雅黑"/>
                <w:sz w:val="21"/>
                <w:szCs w:val="21"/>
              </w:rPr>
            </w:pPr>
          </w:p>
        </w:tc>
        <w:tc>
          <w:tcPr>
            <w:tcW w:w="929" w:type="dxa"/>
            <w:gridSpan w:val="2"/>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证书</w:t>
            </w:r>
          </w:p>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管理</w:t>
            </w:r>
          </w:p>
        </w:tc>
        <w:tc>
          <w:tcPr>
            <w:tcW w:w="6776" w:type="dxa"/>
            <w:gridSpan w:val="2"/>
            <w:vAlign w:val="center"/>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sym w:font="Wingdings" w:char="F06C"/>
            </w:r>
            <w:r>
              <w:rPr>
                <w:rFonts w:hint="eastAsia" w:ascii="微软雅黑" w:hAnsi="微软雅黑" w:eastAsia="微软雅黑"/>
                <w:sz w:val="21"/>
                <w:szCs w:val="21"/>
              </w:rPr>
              <w:t>实现主管部门对学员证书的添加、修改、删除和查看的功能，并可一键生成打印培训结业证书。</w:t>
            </w:r>
          </w:p>
          <w:p>
            <w:pPr>
              <w:spacing w:line="300" w:lineRule="exact"/>
              <w:ind w:firstLine="0" w:firstLineChars="0"/>
              <w:rPr>
                <w:rFonts w:ascii="微软雅黑" w:hAnsi="微软雅黑" w:eastAsia="微软雅黑"/>
                <w:sz w:val="21"/>
                <w:szCs w:val="21"/>
              </w:rPr>
            </w:pPr>
            <w:r>
              <w:rPr>
                <w:rFonts w:hint="eastAsia" w:ascii="微软雅黑" w:hAnsi="微软雅黑" w:eastAsia="微软雅黑"/>
                <w:sz w:val="21"/>
                <w:szCs w:val="21"/>
              </w:rPr>
              <w:sym w:font="Wingdings" w:char="F06C"/>
            </w:r>
            <w:r>
              <w:rPr>
                <w:rFonts w:hint="eastAsia" w:ascii="微软雅黑" w:hAnsi="微软雅黑" w:eastAsia="微软雅黑"/>
                <w:sz w:val="21"/>
                <w:szCs w:val="21"/>
              </w:rPr>
              <w:t>与部中心创业培训管理系统对接，实现本地证书管理功能。</w:t>
            </w:r>
          </w:p>
        </w:tc>
      </w:tr>
    </w:tbl>
    <w:p>
      <w:pPr>
        <w:spacing w:line="300" w:lineRule="exact"/>
        <w:ind w:firstLine="420"/>
        <w:rPr>
          <w:rFonts w:hint="eastAsia" w:ascii="微软雅黑" w:hAnsi="微软雅黑" w:eastAsia="微软雅黑"/>
          <w:sz w:val="21"/>
          <w:szCs w:val="21"/>
        </w:rPr>
      </w:pPr>
    </w:p>
    <w:p>
      <w:pPr>
        <w:spacing w:line="300" w:lineRule="exact"/>
        <w:ind w:firstLine="420"/>
        <w:rPr>
          <w:rFonts w:hint="eastAsia" w:ascii="微软雅黑" w:hAnsi="微软雅黑" w:eastAsia="微软雅黑"/>
          <w:b/>
          <w:sz w:val="21"/>
          <w:szCs w:val="21"/>
        </w:rPr>
      </w:pPr>
      <w:r>
        <w:rPr>
          <w:rFonts w:hint="eastAsia" w:ascii="微软雅黑" w:hAnsi="微软雅黑" w:eastAsia="微软雅黑"/>
          <w:b/>
          <w:sz w:val="21"/>
          <w:szCs w:val="21"/>
        </w:rPr>
        <w:t>三、技术及性能建议</w:t>
      </w:r>
    </w:p>
    <w:p>
      <w:pPr>
        <w:spacing w:line="300" w:lineRule="exact"/>
        <w:ind w:firstLine="420"/>
        <w:rPr>
          <w:rFonts w:hint="eastAsia" w:ascii="微软雅黑" w:hAnsi="微软雅黑" w:eastAsia="微软雅黑"/>
          <w:sz w:val="21"/>
          <w:szCs w:val="21"/>
        </w:rPr>
      </w:pPr>
      <w:r>
        <w:rPr>
          <w:rFonts w:hint="eastAsia" w:ascii="微软雅黑" w:hAnsi="微软雅黑" w:eastAsia="微软雅黑"/>
          <w:sz w:val="21"/>
          <w:szCs w:val="21"/>
        </w:rPr>
        <w:t>建议平台整体采用B/S模式开发，B/S（Browser/Server，浏览器/服务器）模式又称B/S结构，它是对C/S模式应用的扩展；在这种结构下，工作界面可通过浏览器实现。用户可以通过WWW浏览器访问平台并完成业务逻辑对应的（一系列）操作；客户端除了WWW浏览器一般无须任何用户程序，在这种结构中，系统的升级和维护都只需要在服务端进行。</w:t>
      </w:r>
    </w:p>
    <w:p>
      <w:pPr>
        <w:spacing w:line="300" w:lineRule="exact"/>
        <w:ind w:firstLine="420"/>
        <w:rPr>
          <w:rFonts w:hint="eastAsia" w:ascii="微软雅黑" w:hAnsi="微软雅黑" w:eastAsia="微软雅黑"/>
          <w:sz w:val="21"/>
          <w:szCs w:val="21"/>
        </w:rPr>
      </w:pPr>
      <w:r>
        <w:rPr>
          <w:rFonts w:hint="eastAsia" w:ascii="微软雅黑" w:hAnsi="微软雅黑" w:eastAsia="微软雅黑"/>
          <w:sz w:val="21"/>
          <w:szCs w:val="21"/>
        </w:rPr>
        <w:t>平台中的各个子系统间的交互和集成建议采用REST设计理念：即表述性状态传递，从而提高各个子系统的集成度和统一性，使整个平台无论从横向还是纵向扩展功能都可以做到有机融合。同时减少对具体的实现技术的依赖，即各个子系统分别根据自身的业务特点采用不同的技术和框架，并将使用的公共数据和元数据（META-DATA）通过可靠的在线信息传送渠道（TSL）和协议（HTTPS）实现传输和共享。需要在各个子系统内部和子系统间传递、共享的数据涉及的敏感部分（如密码，各类档案），可通过Rijndael ( 即AES）算法加密；涉及到签名性质的数据和日志则使用MD5和SHA1（Secure Hash Algorithm）单向散列算法取特征值，从而做到防篡改、防抵赖。</w:t>
      </w:r>
    </w:p>
    <w:p>
      <w:pPr>
        <w:spacing w:line="300" w:lineRule="exact"/>
        <w:ind w:firstLine="420"/>
        <w:rPr>
          <w:rFonts w:hint="eastAsia" w:ascii="微软雅黑" w:hAnsi="微软雅黑" w:eastAsia="微软雅黑"/>
          <w:sz w:val="21"/>
          <w:szCs w:val="21"/>
        </w:rPr>
      </w:pPr>
      <w:r>
        <w:rPr>
          <w:rFonts w:hint="eastAsia" w:ascii="微软雅黑" w:hAnsi="微软雅黑" w:eastAsia="微软雅黑"/>
          <w:sz w:val="21"/>
          <w:szCs w:val="21"/>
        </w:rPr>
        <w:t>平台运行过程中的安全性和高可用性H.A（High Availability）建议可用以下方法实现：</w:t>
      </w:r>
    </w:p>
    <w:p>
      <w:pPr>
        <w:spacing w:line="300" w:lineRule="exact"/>
        <w:ind w:firstLine="420"/>
        <w:rPr>
          <w:rFonts w:hint="eastAsia" w:ascii="微软雅黑" w:hAnsi="微软雅黑" w:eastAsia="微软雅黑"/>
          <w:sz w:val="21"/>
          <w:szCs w:val="21"/>
        </w:rPr>
      </w:pPr>
      <w:r>
        <w:rPr>
          <w:rFonts w:hint="eastAsia" w:ascii="微软雅黑" w:hAnsi="微软雅黑" w:eastAsia="微软雅黑"/>
          <w:sz w:val="21"/>
          <w:szCs w:val="21"/>
        </w:rPr>
        <w:t>1.建立安全的防火墙（使用硬件或者iptables软件防火墙实现白名单或者黑名单制度）。</w:t>
      </w:r>
    </w:p>
    <w:p>
      <w:pPr>
        <w:spacing w:line="300" w:lineRule="exact"/>
        <w:ind w:firstLine="420"/>
        <w:rPr>
          <w:rFonts w:hint="eastAsia" w:ascii="微软雅黑" w:hAnsi="微软雅黑" w:eastAsia="微软雅黑"/>
          <w:sz w:val="21"/>
          <w:szCs w:val="21"/>
        </w:rPr>
      </w:pPr>
      <w:r>
        <w:rPr>
          <w:rFonts w:hint="eastAsia" w:ascii="微软雅黑" w:hAnsi="微软雅黑" w:eastAsia="微软雅黑"/>
          <w:sz w:val="21"/>
          <w:szCs w:val="21"/>
        </w:rPr>
        <w:t>2.建立高可用服务器集群，实现关键节点双机热备。</w:t>
      </w:r>
    </w:p>
    <w:p>
      <w:pPr>
        <w:spacing w:line="300" w:lineRule="exact"/>
        <w:ind w:firstLine="420"/>
        <w:rPr>
          <w:rFonts w:hint="eastAsia" w:ascii="微软雅黑" w:hAnsi="微软雅黑" w:eastAsia="微软雅黑"/>
          <w:sz w:val="21"/>
          <w:szCs w:val="21"/>
        </w:rPr>
      </w:pPr>
      <w:r>
        <w:rPr>
          <w:rFonts w:hint="eastAsia" w:ascii="微软雅黑" w:hAnsi="微软雅黑" w:eastAsia="微软雅黑"/>
          <w:sz w:val="21"/>
          <w:szCs w:val="21"/>
        </w:rPr>
        <w:t>3.在集群每个节点中部署负载检测和入侵检测系统。</w:t>
      </w:r>
    </w:p>
    <w:p>
      <w:pPr>
        <w:spacing w:line="300" w:lineRule="exact"/>
        <w:ind w:firstLine="420"/>
        <w:rPr>
          <w:rFonts w:hint="eastAsia" w:ascii="微软雅黑" w:hAnsi="微软雅黑" w:eastAsia="微软雅黑"/>
          <w:sz w:val="21"/>
          <w:szCs w:val="21"/>
        </w:rPr>
      </w:pPr>
      <w:r>
        <w:rPr>
          <w:rFonts w:hint="eastAsia" w:ascii="微软雅黑" w:hAnsi="微软雅黑" w:eastAsia="微软雅黑"/>
          <w:sz w:val="21"/>
          <w:szCs w:val="21"/>
        </w:rPr>
        <w:t>4.实施错误隔离策略，部署软件故障监测系统。</w:t>
      </w:r>
    </w:p>
    <w:p>
      <w:pPr>
        <w:spacing w:line="300" w:lineRule="exact"/>
        <w:ind w:firstLine="420"/>
        <w:rPr>
          <w:rFonts w:hint="eastAsia" w:ascii="微软雅黑" w:hAnsi="微软雅黑" w:eastAsia="微软雅黑"/>
          <w:sz w:val="21"/>
          <w:szCs w:val="21"/>
        </w:rPr>
      </w:pPr>
      <w:r>
        <w:rPr>
          <w:rFonts w:hint="eastAsia" w:ascii="微软雅黑" w:hAnsi="微软雅黑" w:eastAsia="微软雅黑"/>
          <w:sz w:val="21"/>
          <w:szCs w:val="21"/>
        </w:rPr>
        <w:t>5.存储资源实施每日增量备份，定期全盘备份。</w:t>
      </w:r>
    </w:p>
    <w:p>
      <w:pPr>
        <w:spacing w:line="300" w:lineRule="exact"/>
        <w:ind w:firstLine="420"/>
        <w:rPr>
          <w:rFonts w:hint="eastAsia" w:ascii="微软雅黑" w:hAnsi="微软雅黑" w:eastAsia="微软雅黑"/>
          <w:sz w:val="21"/>
          <w:szCs w:val="21"/>
        </w:rPr>
      </w:pPr>
    </w:p>
    <w:p>
      <w:pPr>
        <w:spacing w:line="300" w:lineRule="exact"/>
        <w:ind w:firstLine="420"/>
        <w:rPr>
          <w:rFonts w:hint="eastAsia" w:ascii="微软雅黑" w:hAnsi="微软雅黑" w:eastAsia="微软雅黑"/>
          <w:b/>
          <w:sz w:val="21"/>
          <w:szCs w:val="21"/>
        </w:rPr>
      </w:pPr>
      <w:r>
        <w:rPr>
          <w:rFonts w:hint="eastAsia" w:ascii="微软雅黑" w:hAnsi="微软雅黑" w:eastAsia="微软雅黑"/>
          <w:b/>
          <w:sz w:val="21"/>
          <w:szCs w:val="21"/>
        </w:rPr>
        <w:t>四、后续支持服务</w:t>
      </w:r>
    </w:p>
    <w:tbl>
      <w:tblPr>
        <w:tblStyle w:val="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6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操作系统</w:t>
            </w:r>
          </w:p>
        </w:tc>
        <w:tc>
          <w:tcPr>
            <w:tcW w:w="6713" w:type="dxa"/>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1.服务器的配置优化。</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2.服务器重要配置文件定期备份。</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3.服务出现异常时的及时恢复。</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4.服务器日常打补丁。</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5.检测服务器是否在线、性能预警和安全预警（如内存占用过高，有不法的暴力破解程序在不停试密码；会有邮件或者短信提醒）。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数据库</w:t>
            </w:r>
          </w:p>
        </w:tc>
        <w:tc>
          <w:tcPr>
            <w:tcW w:w="6713" w:type="dxa"/>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1.恢复由已更新的或已删除的行占据的磁盘空间。</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2.重要数据的日常备份。</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3.万一系统失败时恢复数据库系统。</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4.日常的日志管理。</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5.超负荷预警和安全预警（如数据库连接过多，有死锁，磁盘/存储低于阀值；有邮件或者短信提醒）。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web服务器</w:t>
            </w:r>
          </w:p>
        </w:tc>
        <w:tc>
          <w:tcPr>
            <w:tcW w:w="6713" w:type="dxa"/>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1.日志统计和分析。</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2.打安全补丁。</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3.版本升级。</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4.万一服务器出现不可访问的情况时快速回复服务。</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5.检测web服务的的可用性、安全预警、超负荷预警（web服务器连接数过多或访问时间突然变长，或者有入侵；有邮件或者短信提醒）。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spacing w:line="300" w:lineRule="exact"/>
              <w:ind w:firstLine="0" w:firstLineChars="0"/>
              <w:jc w:val="center"/>
              <w:rPr>
                <w:rFonts w:hint="eastAsia" w:ascii="微软雅黑" w:hAnsi="微软雅黑" w:eastAsia="微软雅黑"/>
                <w:sz w:val="21"/>
                <w:szCs w:val="21"/>
              </w:rPr>
            </w:pPr>
            <w:r>
              <w:rPr>
                <w:rFonts w:hint="eastAsia" w:ascii="微软雅黑" w:hAnsi="微软雅黑" w:eastAsia="微软雅黑"/>
                <w:sz w:val="21"/>
                <w:szCs w:val="21"/>
              </w:rPr>
              <w:t>各子系统</w:t>
            </w:r>
          </w:p>
        </w:tc>
        <w:tc>
          <w:tcPr>
            <w:tcW w:w="6713" w:type="dxa"/>
          </w:tcPr>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1.各子系统数据备份（全盘备份和增量备份）。</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2.各子系统功能的常规升级（调整或者改进）。</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3.各子系统出现极端情况的快速响应（快速解决）。</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4.各子系统权限的调整和基于权限的角色调整。</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5.各子系统中产生的统计数据的定时整理。</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6.各子系统实际应用中出现了前期未考虑到的的其它需求或者业务流程的改进。</w:t>
            </w:r>
          </w:p>
          <w:p>
            <w:pPr>
              <w:spacing w:line="300" w:lineRule="exact"/>
              <w:ind w:firstLine="0" w:firstLineChars="0"/>
              <w:rPr>
                <w:rFonts w:hint="eastAsia" w:ascii="微软雅黑" w:hAnsi="微软雅黑" w:eastAsia="微软雅黑"/>
                <w:sz w:val="21"/>
                <w:szCs w:val="21"/>
              </w:rPr>
            </w:pPr>
            <w:r>
              <w:rPr>
                <w:rFonts w:hint="eastAsia" w:ascii="微软雅黑" w:hAnsi="微软雅黑" w:eastAsia="微软雅黑"/>
                <w:sz w:val="21"/>
                <w:szCs w:val="21"/>
              </w:rPr>
              <w:t>7.各子系统性能的优化。</w:t>
            </w:r>
          </w:p>
        </w:tc>
      </w:tr>
    </w:tbl>
    <w:p>
      <w:pPr>
        <w:spacing w:line="300" w:lineRule="exact"/>
        <w:ind w:firstLine="420"/>
        <w:rPr>
          <w:rFonts w:ascii="微软雅黑" w:hAnsi="微软雅黑" w:eastAsia="微软雅黑"/>
          <w:sz w:val="21"/>
          <w:szCs w:val="21"/>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6886247"/>
      <w:docPartObj>
        <w:docPartGallery w:val="AutoText"/>
      </w:docPartObj>
    </w:sdtPr>
    <w:sdtContent>
      <w:p>
        <w:pPr>
          <w:pStyle w:val="4"/>
          <w:ind w:firstLine="360"/>
          <w:jc w:val="center"/>
        </w:pPr>
        <w:r>
          <w:fldChar w:fldCharType="begin"/>
        </w:r>
        <w:r>
          <w:instrText xml:space="preserve">PAGE   \* MERGEFORMAT</w:instrText>
        </w:r>
        <w:r>
          <w:fldChar w:fldCharType="separate"/>
        </w:r>
        <w:r>
          <w:rPr>
            <w:lang w:val="zh-CN"/>
          </w:rPr>
          <w:t>2</w:t>
        </w:r>
        <w:r>
          <w:fldChar w:fldCharType="end"/>
        </w:r>
      </w:p>
    </w:sdtContent>
  </w:sdt>
  <w:p>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BD8"/>
    <w:rsid w:val="00036BD8"/>
    <w:rsid w:val="00055106"/>
    <w:rsid w:val="000E53D1"/>
    <w:rsid w:val="00186AB2"/>
    <w:rsid w:val="001B4543"/>
    <w:rsid w:val="001F1C2C"/>
    <w:rsid w:val="003E1C62"/>
    <w:rsid w:val="00441F66"/>
    <w:rsid w:val="00445F6B"/>
    <w:rsid w:val="00454F64"/>
    <w:rsid w:val="004B10CA"/>
    <w:rsid w:val="0050060F"/>
    <w:rsid w:val="0051184D"/>
    <w:rsid w:val="005E57B6"/>
    <w:rsid w:val="005F3276"/>
    <w:rsid w:val="00601B3A"/>
    <w:rsid w:val="00651496"/>
    <w:rsid w:val="00680465"/>
    <w:rsid w:val="00686D31"/>
    <w:rsid w:val="007B6440"/>
    <w:rsid w:val="008279AA"/>
    <w:rsid w:val="008F2040"/>
    <w:rsid w:val="008F5066"/>
    <w:rsid w:val="00902499"/>
    <w:rsid w:val="009C0D8D"/>
    <w:rsid w:val="00AE5B80"/>
    <w:rsid w:val="00B45CF8"/>
    <w:rsid w:val="00BE0C2C"/>
    <w:rsid w:val="00C07AAB"/>
    <w:rsid w:val="00CD572F"/>
    <w:rsid w:val="00EB2A54"/>
    <w:rsid w:val="00F423A0"/>
    <w:rsid w:val="00FD2A0F"/>
    <w:rsid w:val="00FE03E4"/>
    <w:rsid w:val="00FE089B"/>
    <w:rsid w:val="22773B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15" w:lineRule="auto"/>
      <w:ind w:firstLine="200" w:firstLineChars="200"/>
      <w:jc w:val="both"/>
    </w:pPr>
    <w:rPr>
      <w:rFonts w:eastAsia="仿宋" w:asciiTheme="minorHAnsi" w:hAnsiTheme="minorHAnsi" w:cstheme="minorBidi"/>
      <w:kern w:val="2"/>
      <w:sz w:val="32"/>
      <w:szCs w:val="22"/>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paragraph" w:styleId="3">
    <w:name w:val="heading 5"/>
    <w:basedOn w:val="1"/>
    <w:next w:val="1"/>
    <w:link w:val="13"/>
    <w:unhideWhenUsed/>
    <w:qFormat/>
    <w:uiPriority w:val="9"/>
    <w:pPr>
      <w:keepNext/>
      <w:keepLines/>
      <w:spacing w:before="280" w:after="290" w:line="376" w:lineRule="auto"/>
      <w:outlineLvl w:val="4"/>
    </w:pPr>
    <w:rPr>
      <w:b/>
      <w:bCs/>
      <w:sz w:val="28"/>
      <w:szCs w:val="28"/>
    </w:rPr>
  </w:style>
  <w:style w:type="character" w:default="1" w:styleId="7">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Subtitle"/>
    <w:basedOn w:val="1"/>
    <w:next w:val="1"/>
    <w:link w:val="14"/>
    <w:qFormat/>
    <w:uiPriority w:val="11"/>
    <w:pPr>
      <w:spacing w:before="240" w:after="60" w:line="312" w:lineRule="auto"/>
      <w:jc w:val="center"/>
      <w:outlineLvl w:val="1"/>
    </w:pPr>
    <w:rPr>
      <w:rFonts w:eastAsia="宋体" w:asciiTheme="majorHAnsi" w:hAnsiTheme="majorHAnsi" w:cstheme="majorBidi"/>
      <w:b/>
      <w:bCs/>
      <w:kern w:val="28"/>
      <w:szCs w:val="32"/>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0">
    <w:name w:val="页眉 Char"/>
    <w:basedOn w:val="7"/>
    <w:link w:val="5"/>
    <w:qFormat/>
    <w:uiPriority w:val="99"/>
    <w:rPr>
      <w:sz w:val="18"/>
      <w:szCs w:val="18"/>
    </w:rPr>
  </w:style>
  <w:style w:type="character" w:customStyle="1" w:styleId="11">
    <w:name w:val="页脚 Char"/>
    <w:basedOn w:val="7"/>
    <w:link w:val="4"/>
    <w:qFormat/>
    <w:uiPriority w:val="99"/>
    <w:rPr>
      <w:sz w:val="18"/>
      <w:szCs w:val="18"/>
    </w:rPr>
  </w:style>
  <w:style w:type="character" w:customStyle="1" w:styleId="12">
    <w:name w:val="标题 1 Char"/>
    <w:basedOn w:val="7"/>
    <w:link w:val="2"/>
    <w:qFormat/>
    <w:uiPriority w:val="9"/>
    <w:rPr>
      <w:rFonts w:eastAsia="仿宋"/>
      <w:b/>
      <w:bCs/>
      <w:kern w:val="44"/>
      <w:sz w:val="44"/>
      <w:szCs w:val="44"/>
    </w:rPr>
  </w:style>
  <w:style w:type="character" w:customStyle="1" w:styleId="13">
    <w:name w:val="标题 5 Char"/>
    <w:basedOn w:val="7"/>
    <w:link w:val="3"/>
    <w:qFormat/>
    <w:uiPriority w:val="9"/>
    <w:rPr>
      <w:rFonts w:eastAsia="仿宋"/>
      <w:b/>
      <w:bCs/>
      <w:sz w:val="28"/>
      <w:szCs w:val="28"/>
    </w:rPr>
  </w:style>
  <w:style w:type="character" w:customStyle="1" w:styleId="14">
    <w:name w:val="副标题 Char"/>
    <w:basedOn w:val="7"/>
    <w:link w:val="6"/>
    <w:qFormat/>
    <w:uiPriority w:val="11"/>
    <w:rPr>
      <w:rFonts w:eastAsia="宋体" w:asciiTheme="majorHAnsi" w:hAnsiTheme="majorHAnsi" w:cstheme="majorBidi"/>
      <w:b/>
      <w:bCs/>
      <w:kern w:val="28"/>
      <w:sz w:val="32"/>
      <w:szCs w:val="32"/>
    </w:rPr>
  </w:style>
  <w:style w:type="paragraph" w:customStyle="1" w:styleId="15">
    <w:name w:val="列出段落2"/>
    <w:basedOn w:val="1"/>
    <w:unhideWhenUsed/>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749</Words>
  <Characters>4270</Characters>
  <Lines>35</Lines>
  <Paragraphs>10</Paragraphs>
  <TotalTime>0</TotalTime>
  <ScaleCrop>false</ScaleCrop>
  <LinksUpToDate>false</LinksUpToDate>
  <CharactersWithSpaces>5009</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2016-03-04T08:30:00Z</dcterms:created>
  <dc:creator>USER</dc:creator>
  <cp:lastModifiedBy>Administrator</cp:lastModifiedBy>
  <dcterms:modified xsi:type="dcterms:W3CDTF">2018-01-16T06:08:35Z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